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Arial" w:cs="Arial" w:eastAsia="Arial" w:hAnsi="Arial"/>
          <w:b/>
          <w:bCs/>
          <w:color w:val="0F6E56"/>
          <w:sz w:val="32"/>
          <w:szCs w:val="32"/>
        </w:rPr>
        <w:t xml:space="preserve">CHECKLIST DE PRÉPARATION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D9E75"/>
          <w:sz w:val="24"/>
          <w:szCs w:val="24"/>
        </w:rPr>
        <w:t xml:space="preserve">AUDIT DE CERTIFICATION ISO 9001:2015</w:t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À utiliser 4 à 8 semaines avant la date d'audit de certification ou de renouvellement</w:t>
      </w:r>
    </w:p>
    <w:p>
      <w:pPr>
        <w:spacing w:after="18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Organisme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Site / Périmètre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Responsable qualité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Date d'audit prévisionnelle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Organisme certificateur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Type d'audit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☐  Initial    ☐  Surveillance    ☐  Renouvellement</w:t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2155"/>
        <w:gridCol w:w="560"/>
        <w:gridCol w:w="2155"/>
        <w:gridCol w:w="560"/>
        <w:gridCol w:w="3036"/>
      </w:tblGrid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B6D11"/>
                <w:sz w:val="17"/>
                <w:szCs w:val="17"/>
              </w:rPr>
              <w:t xml:space="preserve">✓ OK</w:t>
            </w:r>
          </w:p>
        </w:tc>
        <w:tc>
          <w:tcPr>
            <w:tcW w:type="dxa" w:w="215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3DE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3B6D11"/>
                <w:sz w:val="17"/>
                <w:szCs w:val="17"/>
              </w:rPr>
              <w:t xml:space="preserve">Point conforme, preuve disponible</w:t>
            </w:r>
          </w:p>
        </w:tc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BEB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17"/>
                <w:szCs w:val="17"/>
              </w:rPr>
              <w:t xml:space="preserve">✗ KO</w:t>
            </w:r>
          </w:p>
        </w:tc>
        <w:tc>
          <w:tcPr>
            <w:tcW w:type="dxa" w:w="215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BEB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A32D2D"/>
                <w:sz w:val="17"/>
                <w:szCs w:val="17"/>
              </w:rPr>
              <w:t xml:space="preserve">Point manquant ou non conforme</w:t>
            </w:r>
          </w:p>
        </w:tc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55555"/>
                <w:sz w:val="17"/>
                <w:szCs w:val="17"/>
              </w:rPr>
              <w:t xml:space="preserve">N/A</w:t>
            </w:r>
          </w:p>
        </w:tc>
        <w:tc>
          <w:tcPr>
            <w:tcW w:type="dxa" w:w="30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Non applicable au périmètre audité</w:t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6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1. Contexte de l'organisation et leadership (§4 / §5)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5966"/>
        <w:gridCol w:w="1500"/>
        <w:gridCol w:w="1000"/>
      </w:tblGrid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Point à vérifier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Référence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Statut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Contexte et parties intéressées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L'analyse du contexte interne et externe est documentée et à jour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§4.1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parties intéressées pertinentes et leurs exigences sont identifiées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§4.2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 périmètre du SMQ est défini et documenté, avec justification des exclusions éventuelles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§4.3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La cartographie des processus du SMQ est disponible et cohérente avec le périmètre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§4.4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Leadership et politique qualité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La politique qualité est approuvée par la direction, datée et diffusée à l'ensemble du personnel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§5.2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La politique qualité est disponible pour les parties intéressées (affichage, intranet…)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§5.2.2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rôles, responsabilités et autorités sont définis et communiqués (organigramme, fiches de fonction)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§5.3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Un représentant de la direction est désigné pour le SMQ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§5.3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La direction démontre son engagement (participation aux revues, allocation de ressources)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§5.1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6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2. Planification (§6)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5966"/>
        <w:gridCol w:w="1500"/>
        <w:gridCol w:w="1000"/>
      </w:tblGrid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Point à vérifier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Référence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Statut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Risques et opportunités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Une analyse des risques et opportunités est réalisée et documentée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§6.1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Des actions sont planifiées pour traiter les risques et opportunités significatifs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§6.1.2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L'efficacité de ces actions est évaluée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§6.1.2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Objectifs qualité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objectifs qualité sont définis, mesurables, et cohérents avec la politique qualité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§6.2.1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Un plan de réalisation des objectifs est établi (quoi, qui, comment, quand)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§6.2.2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objectifs sont suivis et leur atteinte est évaluée (tableau de bord)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§6.2.1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Planification des changements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Tout changement significatif du SMQ fait l'objet d'une planification formelle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§6.3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6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3. Support (§7)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5966"/>
        <w:gridCol w:w="1500"/>
        <w:gridCol w:w="1000"/>
      </w:tblGrid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Point à vérifier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Référence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Statut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Ressources humaines et compétences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compétences requises pour chaque poste impactant la qualité sont définies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§7.2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habilitations sont à jour et les preuves de compétence conservées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§7.2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 plan de formation est établi et les actions de formation sont tracées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§7.2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 personnel est sensibilisé à la politique qualité et à sa contribution au SMQ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§7.3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Infrastructure et environnement de travail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L'infrastructure nécessaire à la conformité des produits/services est identifiée et maintenue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§7.1.3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équipements de mesure et de surveillance font l'objet d'un suivi d'étalonnage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§7.1.5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certificats d'étalonnage des équipements critiques sont valides et disponibles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§7.1.5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Maîtrise documentaire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Une procédure de maîtrise documentaire est en place et appliquée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§7.5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documents comportent identification, version, date et approbation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§7.5.2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versions obsolètes sont retirées des circuits et les versions en vigueur disponibles aux postes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§7.5.3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enregistrements sont lisibles, identifiables et accessibles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§7.5.3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durées de conservation des enregistrements sont définies et respectées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§7.5.3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r>
        <w:br w:type="page"/>
      </w:r>
    </w:p>
    <w:p>
      <w:pPr>
        <w:pBdr>
          <w:bottom w:val="single" w:color="0F6E56" w:sz="6" w:space="1"/>
        </w:pBdr>
        <w:spacing w:after="100" w:before="26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4. Réalisation des activités opérationnelles (§8)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5966"/>
        <w:gridCol w:w="1500"/>
        <w:gridCol w:w="1000"/>
      </w:tblGrid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Point à vérifier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Référence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Statut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Exigences clients et communication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exigences clients (produit/service, livraison, légales) sont identifiées et revues avant engagement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§8.2.2 / §8.2.3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modifications des exigences clients sont gérées et communiquées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§8.2.4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Conception et développement (si applicable)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Un processus de conception est défini avec jalons, revues, vérifications et validations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§8.3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éléments d'entrée et de sortie de la conception sont documentés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§8.3.3 / §8.3.5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Achats et maîtrise des fournisseurs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fournisseurs critiques sont identifiés et évalués périodiquement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§8.4.1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exigences qualité transmises aux fournisseurs sont documentées dans les commandes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§8.4.3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Un contrôle à la réception est réalisé pour les approvisionnements critiques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§8.4.2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Production et réalisation du service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conditions de réalisation sont définies (instructions, paramètres, équipements requis)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§8.5.1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L'identification et la traçabilité des produits/services sont assurées tout au long du processus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§8.5.2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propriétés appartenant aux clients ou fournisseurs externes sont identifiées et protégées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§8.5.3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La libération des produits/services est tracée et autorisée par une personne habilitée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§8.6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Maîtrise des éléments de sortie non conformes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Une procédure de gestion des produits/services non conformes est en place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§8.7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NC produit sont identifiées, ségrégées et traitées (correction, dérogation, destruction)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§8.7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enregistrements de traitement des NC produit sont conservés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§8.7.2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6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5. Évaluation des performances (§9)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5966"/>
        <w:gridCol w:w="1500"/>
        <w:gridCol w:w="1000"/>
      </w:tblGrid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Point à vérifier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Référence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Statut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Surveillance, mesure et satisfaction client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indicateurs de performance du SMQ sont définis, suivis et analysés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§9.1.1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La satisfaction client est mesurée et les résultats analysés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§9.1.2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résultats de surveillance sont utilisés pour identifier des opportunités d'amélioration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§9.1.3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Audit interne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Un programme d'audit interne annuel est établi et couvre l'ensemble du SMQ sur le cycle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§9.2.1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Tous les audits planifiés ont été réalisés sur la période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§9.2.2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rapports d'audit sont formalisés et les NC soulevées traitées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§9.2.2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auditeurs internes sont objectifs vis-à-vis de leur propre travail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§9.2.2c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Revue de direction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La revue de direction a été réalisée au cours des 12 derniers mois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§9.3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Toutes les données d'entrée obligatoires (§9.3.2) ont été examinées en revue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§9.3.2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 compte rendu de revue comporte des décisions actionnables (ressources, améliorations)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§9.3.3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 suivi des décisions de la revue précédente a été présenté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§9.3.2a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6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6. Amélioration (§10)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5966"/>
        <w:gridCol w:w="1500"/>
        <w:gridCol w:w="1000"/>
      </w:tblGrid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Point à vérifier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Référence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Statut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Non-conformités et actions correctives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Toutes les NC sont enregistrées avec description factuelle et référence à l'exigence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§10.2.1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Une analyse de cause est réalisée pour chaque NC significative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§10.2.1c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actions correctives sont assignées, datées et suivies jusqu'à clôture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§10.2.1d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La vérification d'efficacité est systématiquement réalisée avant clôture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§10.2.1f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NC récurrentes font l'objet d'une analyse approfondie de la cause racine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§10.2 / §10.3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9026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Amélioration continue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Des preuves d'amélioration continue du SMQ sont disponibles (indicateurs en progression, NC en baisse…)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§10.3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☐</w:t>
            </w:r>
          </w:p>
        </w:tc>
        <w:tc>
          <w:tcPr>
            <w:tcW w:type="dxa" w:w="5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Les opportunités d'amélioration identifiées (audits, réclamations, revue) sont traitées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i/>
                <w:iCs/>
                <w:color w:val="777777"/>
                <w:sz w:val="17"/>
                <w:szCs w:val="17"/>
              </w:rPr>
              <w:t xml:space="preserve">§10.3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☐ OK   ☐ KO   ☐ N/A</w:t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pBdr>
          <w:bottom w:val="single" w:color="0F6E56" w:sz="6" w:space="1"/>
        </w:pBdr>
        <w:spacing w:after="100" w:before="260"/>
      </w:pPr>
      <w:r>
        <w:rPr>
          <w:rFonts w:ascii="Arial" w:cs="Arial" w:eastAsia="Arial" w:hAnsi="Arial"/>
          <w:b/>
          <w:bCs/>
          <w:color w:val="0F6E56"/>
          <w:sz w:val="22"/>
          <w:szCs w:val="22"/>
        </w:rPr>
        <w:t xml:space="preserve">7. Synthèse et plan d'actions avant l'audit</w:t>
      </w:r>
    </w:p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3966"/>
        <w:gridCol w:w="2000"/>
        <w:gridCol w:w="1500"/>
        <w:gridCol w:w="1000"/>
      </w:tblGrid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N°</w:t>
            </w:r>
          </w:p>
        </w:tc>
        <w:tc>
          <w:tcPr>
            <w:tcW w:type="dxa" w:w="3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Point KO identifié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Action à mener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Responsable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Délai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1</w:t>
            </w:r>
          </w:p>
        </w:tc>
        <w:tc>
          <w:tcPr>
            <w:tcW w:type="dxa" w:w="3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2</w:t>
            </w:r>
          </w:p>
        </w:tc>
        <w:tc>
          <w:tcPr>
            <w:tcW w:type="dxa" w:w="3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3</w:t>
            </w:r>
          </w:p>
        </w:tc>
        <w:tc>
          <w:tcPr>
            <w:tcW w:type="dxa" w:w="3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4</w:t>
            </w:r>
          </w:p>
        </w:tc>
        <w:tc>
          <w:tcPr>
            <w:tcW w:type="dxa" w:w="3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5</w:t>
            </w:r>
          </w:p>
        </w:tc>
        <w:tc>
          <w:tcPr>
            <w:tcW w:type="dxa" w:w="3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6</w:t>
            </w:r>
          </w:p>
        </w:tc>
        <w:tc>
          <w:tcPr>
            <w:tcW w:type="dxa" w:w="39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Total points vérifiés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F6E56"/>
                <w:sz w:val="19"/>
                <w:szCs w:val="19"/>
              </w:rPr>
              <w:t xml:space="preserve">Total KO identifiés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100" w:before="0"/>
      </w:pPr>
      <w:r>
        <w:rPr>
          <w:sz w:val="10"/>
          <w:szCs w:val="10"/>
        </w:rPr>
        <w:t xml:space="preserve"/>
      </w:r>
    </w:p>
    <w:p>
      <w:pPr>
        <w:spacing w:after="60" w:before="0"/>
      </w:pPr>
      <w:r>
        <w:rPr>
          <w:sz w:val="10"/>
          <w:szCs w:val="10"/>
        </w:rPr>
        <w:t xml:space="preserve"/>
      </w:r>
    </w:p>
    <w:p>
      <w:pPr>
        <w:pBdr>
          <w:top w:val="single" w:color="DDDDDD" w:sz="4" w:space="1"/>
        </w:pBdr>
        <w:spacing w:after="0" w:before="160"/>
      </w:pPr>
      <w:r>
        <w:rPr>
          <w:rFonts w:ascii="Arial" w:cs="Arial" w:eastAsia="Arial" w:hAnsi="Arial"/>
          <w:b/>
          <w:bCs/>
          <w:color w:val="555555"/>
          <w:sz w:val="17"/>
          <w:szCs w:val="17"/>
        </w:rPr>
        <w:t xml:space="preserve">Note d'utilisation : </w:t>
      </w:r>
      <w:r>
        <w:rPr>
          <w:rFonts w:ascii="Arial" w:cs="Arial" w:eastAsia="Arial" w:hAnsi="Arial"/>
          <w:color w:val="777777"/>
          <w:sz w:val="17"/>
          <w:szCs w:val="17"/>
        </w:rPr>
        <w:t xml:space="preserve">Cette checklist couvre les 45 exigences les plus fréquemment vérifiées en audit ISO 9001:2015. Elle ne remplace pas la lecture directe de la norme. Chaque point KO doit faire l'objet d'un plan d'action avant la date d'audit. Pour un pack complet (plan d'audit + checklist par processus + rapport), consultez la bibliothèque ISOthèque.</w:t>
      </w:r>
    </w:p>
    <w:p>
      <w:pPr>
        <w:spacing w:after="0" w:before="80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Ressource gratuite ISOthèque — isotheque.fr — Reproduction autorisée pour usage professionnel interne.</w:t>
      </w:r>
    </w:p>
    <w:sectPr>
      <w:headerReference w:type="default" r:id="rId7"/>
      <w:footerReference w:type="default" r:id="rId8"/>
      <w:pgSz w:w="11906" w:h="16838" w:orient="portrait"/>
      <w:pgMar w:top="851" w:right="851" w:bottom="851" w:left="85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0" w:before="60"/>
    </w:pPr>
    <w:r>
      <w:t xml:space="preserve"/>
    </w:r>
  </w:p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www.isotheque.fr  |  Ressource gratuite — usage libre pour usage professionnel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5513"/>
      <w:gridCol w:w="3513"/>
    </w:tblGrid>
    <w:tr>
      <w:tc>
        <w:tcPr>
          <w:tcW w:type="dxa" w:w="551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r>
            <w:rPr>
              <w:rFonts w:ascii="Arial" w:cs="Arial" w:eastAsia="Arial" w:hAnsi="Arial"/>
              <w:b/>
              <w:bCs/>
              <w:color w:val="0F6E56"/>
              <w:sz w:val="28"/>
              <w:szCs w:val="28"/>
            </w:rPr>
            <w:t xml:space="preserve">ISOthèque</w:t>
          </w:r>
        </w:p>
        <w:p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Bibliothèque qualité francophone</w:t>
          </w:r>
        </w:p>
      </w:tc>
      <w:tc>
        <w:tcPr>
          <w:tcW w:type="dxa" w:w="351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555555"/>
              <w:sz w:val="18"/>
              <w:szCs w:val="18"/>
            </w:rPr>
            <w:t xml:space="preserve">Checklist — Audit de certification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999999"/>
              <w:sz w:val="16"/>
              <w:szCs w:val="16"/>
            </w:rPr>
            <w:t xml:space="preserve">Réf. : FR-QUA-CHK-01 | v1.0</w:t>
          </w:r>
        </w:p>
      </w:tc>
    </w:tr>
  </w:tbl>
  <w:p>
    <w:pPr>
      <w:pBdr>
        <w:bottom w:val="single" w:color="0F6E56" w:sz="8" w:space="1"/>
      </w:pBdr>
      <w:spacing w:after="0" w:before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2026-05-26T18:15:02.556Z</dcterms:created>
  <dcterms:modified xsi:type="dcterms:W3CDTF">2026-05-26T18:15:02.568Z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