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rPr>
          <w:trHeight w:val="400" w:hRule="exact"/>
        </w:trPr>
        <w:tc>
          <w:tcPr>
            <w:tcW w:type="pct" w:w="100%"/>
            <w:gridSpan w:val="1"/>
            <w:tcBorders>
              <w:top w:val="none" w:color="FFFFFF" w:sz="0"/>
              <w:left w:val="none" w:color="FFFFFF" w:sz="0"/>
              <w:bottom w:val="none" w:color="FFFFFF" w:sz="0"/>
              <w:right w:val="none" w:color="FFFFFF" w:sz="0"/>
            </w:tcBorders>
            <w:shd w:fill="1E3A8A" w:color="1E3A8A" w:val="solid"/>
            <w:tcMar>
              <w:top w:type="dxa" w:w="80"/>
              <w:left w:type="dxa" w:w="100"/>
              <w:bottom w:type="dxa" w:w="80"/>
              <w:right w:type="dxa" w:w="100"/>
            </w:tcMar>
            <w:vAlign w:val="center"/>
          </w:tcPr>
          <w:p>
            <w:pPr>
              <w:spacing w:after="400" w:before="0" w:line="276"/>
              <w:jc w:val="center"/>
            </w:pPr>
            <w:r>
              <w:rPr>
                <w:rFonts w:ascii="Arial" w:cs="Arial" w:eastAsia="Arial" w:hAnsi="Arial"/>
                <w:b/>
                <w:bCs/>
                <w:i w:val="false"/>
                <w:iCs w:val="false"/>
                <w:color w:val="16A34A"/>
                <w:sz w:val="20"/>
                <w:szCs w:val="20"/>
              </w:rPr>
              <w:t xml:space="preserve">✦ RESSOURCE GRATUITE</w:t>
            </w:r>
          </w:p>
          <w:p>
            <w:pPr>
              <w:spacing w:after="200" w:before="0" w:line="276"/>
              <w:jc w:val="center"/>
            </w:pPr>
            <w:r>
              <w:rPr>
                <w:rFonts w:ascii="Arial" w:cs="Arial" w:eastAsia="Arial" w:hAnsi="Arial"/>
                <w:b/>
                <w:bCs/>
                <w:i w:val="false"/>
                <w:iCs w:val="false"/>
                <w:color w:val="FFFFFF"/>
                <w:sz w:val="48"/>
                <w:szCs w:val="48"/>
              </w:rPr>
              <w:t xml:space="preserve">FICHE DE DOMAINE D'APPLICATION</w:t>
            </w:r>
          </w:p>
          <w:p>
            <w:pPr>
              <w:spacing w:after="200" w:before="0" w:line="276"/>
              <w:jc w:val="center"/>
            </w:pPr>
            <w:r>
              <w:rPr>
                <w:rFonts w:ascii="Arial" w:cs="Arial" w:eastAsia="Arial" w:hAnsi="Arial"/>
                <w:b/>
                <w:bCs/>
                <w:i w:val="false"/>
                <w:iCs w:val="false"/>
                <w:color w:val="FFFFFF"/>
                <w:sz w:val="48"/>
                <w:szCs w:val="48"/>
              </w:rPr>
              <w:t xml:space="preserve">ET ENJEUX ORGANISATIONNELS</w:t>
            </w:r>
          </w:p>
          <w:p>
            <w:pPr>
              <w:spacing w:after="800" w:before="0" w:line="276"/>
              <w:jc w:val="center"/>
            </w:pPr>
            <w:r>
              <w:rPr>
                <w:rFonts w:ascii="Arial" w:cs="Arial" w:eastAsia="Arial" w:hAnsi="Arial"/>
                <w:b w:val="false"/>
                <w:bCs w:val="false"/>
                <w:i w:val="false"/>
                <w:iCs w:val="false"/>
                <w:color w:val="DBEAFE"/>
                <w:sz w:val="22"/>
                <w:szCs w:val="22"/>
              </w:rPr>
              <w:t xml:space="preserve">ISO 9001:2015 — §4.1 Contexte | §4.3 Domaine d'application</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Raison sociale</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Secteur d'activité</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Taille (effectifs)</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Sites / périmètre géographique</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Responsable Qualité</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d'établissement</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de prochaine révision</w:t>
            </w:r>
          </w:p>
        </w:tc>
        <w:tc>
          <w:tcPr>
            <w:tcW w:type="pct" w:w="7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gridSpan w:val="1"/>
            <w:tcBorders>
              <w:top w:val="single" w:color="2563EB" w:sz="12"/>
              <w:left w:val="single" w:color="2563EB" w:sz="12"/>
              <w:bottom w:val="single" w:color="2563EB" w:sz="12"/>
              <w:right w:val="single" w:color="2563EB" w:sz="12"/>
            </w:tcBorders>
            <w:shd w:fill="DBEAFE" w:color="DBEAFE"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2563EB"/>
                <w:sz w:val="24"/>
                <w:szCs w:val="24"/>
              </w:rPr>
              <w:t xml:space="preserve">📋 </w:t>
            </w:r>
            <w:r>
              <w:rPr>
                <w:rFonts w:ascii="Arial" w:cs="Arial" w:eastAsia="Arial" w:hAnsi="Arial"/>
                <w:b w:val="false"/>
                <w:bCs w:val="false"/>
                <w:i w:val="false"/>
                <w:iCs w:val="false"/>
                <w:color w:val="1A1A2E"/>
                <w:sz w:val="20"/>
                <w:szCs w:val="20"/>
              </w:rPr>
              <w:t xml:space="preserve">Ce document constitue la référence de base du SMQ. Il est systématiquement consulté par l'auditeur lors d'un audit de certification (§4.1 et §4.3). Il doit être approuvé par la direction et mis à jour à chaque changement de contexte significatif.</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1. PRÉSENTATION DE L'ORGANISME</w:t>
      </w:r>
    </w:p>
    <w:p>
      <w:pPr>
        <w:pBdr>
          <w:bottom w:val="single" w:color="2563EB" w:sz="4"/>
        </w:pBdr>
        <w:spacing w:after="80" w:before="200"/>
      </w:pPr>
      <w:r>
        <w:rPr>
          <w:rFonts w:ascii="Arial" w:cs="Arial" w:eastAsia="Arial" w:hAnsi="Arial"/>
          <w:b/>
          <w:bCs/>
          <w:i w:val="false"/>
          <w:iCs w:val="false"/>
          <w:color w:val="1E3A8A"/>
          <w:sz w:val="22"/>
          <w:szCs w:val="22"/>
        </w:rPr>
        <w:t xml:space="preserve">1.1 Activité principale</w:t>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Description de l'activité principale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Produits / Services fournis</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Marchés servis / clients types</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Codes NAF / APE</w:t>
            </w:r>
          </w:p>
        </w:tc>
        <w:tc>
          <w:tcPr>
            <w:tcW w:type="pct" w:w="6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2. DOMAINE D'APPLICATION DU SMQ (§4.3)</w:t>
      </w:r>
    </w:p>
    <w:p>
      <w:pPr>
        <w:spacing w:after="800" w:before="0" w:line="276"/>
        <w:jc w:val="left"/>
      </w:pPr>
      <w:r>
        <w:rPr>
          <w:rFonts w:ascii="Arial" w:cs="Arial" w:eastAsia="Arial" w:hAnsi="Arial"/>
          <w:b w:val="false"/>
          <w:bCs w:val="false"/>
          <w:i w:val="false"/>
          <w:iCs w:val="false"/>
          <w:color w:val="1A1A2E"/>
          <w:sz w:val="20"/>
          <w:szCs w:val="20"/>
        </w:rPr>
        <w:t xml:space="preserve">Le Système de Management de la Qualité (SMQ) de l'organisme couvre le périmètre suivant :</w:t>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tblGrid>
      <w:tr>
        <w:tc>
          <w:tcPr>
            <w:tcW w:type="pct" w:w="5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Périmètre inclus dans le SMQ</w:t>
            </w:r>
          </w:p>
        </w:tc>
        <w:tc>
          <w:tcPr>
            <w:tcW w:type="pct" w:w="5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Justification / Commentaires</w:t>
            </w:r>
          </w:p>
        </w:tc>
      </w:tr>
      <w:tr>
        <w:tc>
          <w:tcPr>
            <w:tcW w:type="pct" w:w="5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Activité principale de production / prestation</w:t>
            </w:r>
          </w:p>
        </w:tc>
        <w:tc>
          <w:tcPr>
            <w:tcW w:type="pct" w:w="5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5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Processus commerciaux et revue de contrat</w:t>
            </w:r>
          </w:p>
        </w:tc>
        <w:tc>
          <w:tcPr>
            <w:tcW w:type="pct" w:w="5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5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Processus support (RH, achats, maintenance)</w:t>
            </w:r>
          </w:p>
        </w:tc>
        <w:tc>
          <w:tcPr>
            <w:tcW w:type="pct" w:w="5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r>
        <w:tc>
          <w:tcPr>
            <w:tcW w:type="pct" w:w="5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Sites et locaux inclus</w:t>
            </w:r>
          </w:p>
        </w:tc>
        <w:tc>
          <w:tcPr>
            <w:tcW w:type="pct" w:w="5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pBdr>
          <w:bottom w:val="single" w:color="2563EB" w:sz="4"/>
        </w:pBdr>
        <w:spacing w:after="80" w:before="200"/>
      </w:pPr>
      <w:r>
        <w:rPr>
          <w:rFonts w:ascii="Arial" w:cs="Arial" w:eastAsia="Arial" w:hAnsi="Arial"/>
          <w:b/>
          <w:bCs/>
          <w:i w:val="false"/>
          <w:iCs w:val="false"/>
          <w:color w:val="1E3A8A"/>
          <w:sz w:val="22"/>
          <w:szCs w:val="22"/>
        </w:rPr>
        <w:t xml:space="preserve">2.1 Exclusions justifiées (§4.3)</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W w:type="pct" w:w="100%"/>
            <w:gridSpan w:val="1"/>
            <w:tcBorders>
              <w:top w:val="single" w:color="D97706" w:sz="12"/>
              <w:left w:val="single" w:color="D97706" w:sz="12"/>
              <w:bottom w:val="single" w:color="D97706" w:sz="12"/>
              <w:right w:val="single" w:color="D97706" w:sz="12"/>
            </w:tcBorders>
            <w:shd w:fill="FFFBEB" w:color="FFFBEB"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24"/>
                <w:szCs w:val="24"/>
              </w:rPr>
              <w:t xml:space="preserve">⚠ </w:t>
            </w:r>
            <w:r>
              <w:rPr>
                <w:rFonts w:ascii="Arial" w:cs="Arial" w:eastAsia="Arial" w:hAnsi="Arial"/>
                <w:b w:val="false"/>
                <w:bCs w:val="false"/>
                <w:i w:val="false"/>
                <w:iCs w:val="false"/>
                <w:color w:val="1A1A2E"/>
                <w:sz w:val="20"/>
                <w:szCs w:val="20"/>
              </w:rPr>
              <w:t xml:space="preserve">Une exclusion n'est acceptable que si l'exigence exclue n'affecte pas la capacité de l'organisme à assurer la conformité de ses produits/services ou la satisfaction de ses clients.</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tblGrid>
      <w:tr>
        <w:tc>
          <w:tcPr>
            <w:tcW w:type="pct" w:w="2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Chapitre exclu</w:t>
            </w:r>
          </w:p>
        </w:tc>
        <w:tc>
          <w:tcPr>
            <w:tcW w:type="pct" w:w="3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Exigence concernée</w:t>
            </w:r>
          </w:p>
        </w:tc>
        <w:tc>
          <w:tcPr>
            <w:tcW w:type="pct" w:w="4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Justification de l'exclusion</w:t>
            </w:r>
          </w:p>
        </w:tc>
      </w:tr>
      <w:tr>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§8.3</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Conception et développement</w:t>
            </w:r>
          </w:p>
        </w:tc>
        <w:tc>
          <w:tcPr>
            <w:tcW w:type="pct" w:w="4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L'organisme ne réalise pas d'activité de conception. Les produits/services sont définis par les clients ou standards.</w:t>
            </w:r>
          </w:p>
        </w:tc>
      </w:tr>
      <w:tr>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Aucune autre exclusion</w:t>
            </w:r>
          </w:p>
        </w:tc>
        <w:tc>
          <w:tcPr>
            <w:tcW w:type="pct" w:w="3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w:t>
            </w:r>
          </w:p>
        </w:tc>
        <w:tc>
          <w:tcPr>
            <w:tcW w:type="pct" w:w="4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3. ENJEUX INTERNES ET EXTERNES (§4.1)</w:t>
      </w:r>
    </w:p>
    <w:p>
      <w:pPr>
        <w:spacing w:after="800" w:before="0" w:line="276"/>
        <w:jc w:val="left"/>
      </w:pPr>
      <w:r>
        <w:rPr>
          <w:rFonts w:ascii="Arial" w:cs="Arial" w:eastAsia="Arial" w:hAnsi="Arial"/>
          <w:b w:val="false"/>
          <w:bCs w:val="false"/>
          <w:i w:val="false"/>
          <w:iCs w:val="false"/>
          <w:color w:val="1A1A2E"/>
          <w:sz w:val="20"/>
          <w:szCs w:val="20"/>
        </w:rPr>
        <w:t xml:space="preserve">L'organisme a identifié les enjeux qui peuvent influencer son aptitude à atteindre les résultats attendus de son SMQ :</w:t>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tblGrid>
      <w:tr>
        <w:tc>
          <w:tcPr>
            <w:tcW w:type="pct" w:w="2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Type d'enjeu</w:t>
            </w:r>
          </w:p>
        </w:tc>
        <w:tc>
          <w:tcPr>
            <w:tcW w:type="pct" w:w="4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Description</w:t>
            </w:r>
          </w:p>
        </w:tc>
        <w:tc>
          <w:tcPr>
            <w:tcW w:type="pct" w:w="3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20"/>
                <w:szCs w:val="20"/>
              </w:rPr>
              <w:t xml:space="preserve">Impact sur le SMQ</w:t>
            </w:r>
          </w:p>
        </w:tc>
      </w:tr>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6A34A"/>
                <w:sz w:val="18"/>
                <w:szCs w:val="18"/>
              </w:rPr>
              <w:t xml:space="preserve">Interne — Forces</w:t>
            </w:r>
          </w:p>
        </w:tc>
        <w:tc>
          <w:tcPr>
            <w:tcW w:type="pct" w:w="4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Savoir-faire reconnu, équipes expérimentées, certification existante</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___________________________</w:t>
            </w:r>
          </w:p>
        </w:tc>
      </w:tr>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C2626"/>
                <w:sz w:val="18"/>
                <w:szCs w:val="18"/>
              </w:rPr>
              <w:t xml:space="preserve">Interne — Faiblesses</w:t>
            </w:r>
          </w:p>
        </w:tc>
        <w:tc>
          <w:tcPr>
            <w:tcW w:type="pct" w:w="4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Ressources limitées, processus peu formalisés, turnover</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___________________________</w:t>
            </w:r>
          </w:p>
        </w:tc>
      </w:tr>
      <w:tr>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2563EB"/>
                <w:sz w:val="18"/>
                <w:szCs w:val="18"/>
              </w:rPr>
              <w:t xml:space="preserve">Externe — Opportunités</w:t>
            </w:r>
          </w:p>
        </w:tc>
        <w:tc>
          <w:tcPr>
            <w:tcW w:type="pct" w:w="4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Marchés en croissance, digitalisation, nouvelles réglementations favorables</w:t>
            </w:r>
          </w:p>
        </w:tc>
        <w:tc>
          <w:tcPr>
            <w:tcW w:type="pct" w:w="3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___________________________</w:t>
            </w:r>
          </w:p>
        </w:tc>
      </w:tr>
      <w:tr>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Externe — Menaces</w:t>
            </w:r>
          </w:p>
        </w:tc>
        <w:tc>
          <w:tcPr>
            <w:tcW w:type="pct" w:w="4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Concurrence accrue, volatilité des approvisionnements, exigences clients croissantes</w:t>
            </w:r>
          </w:p>
        </w:tc>
        <w:tc>
          <w:tcPr>
            <w:tcW w:type="pct" w:w="3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___________________________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hd w:fill="1E3A8A" w:color="1E3A8A" w:val="solid"/>
        <w:spacing w:after="80" w:before="200"/>
        <w:ind w:left="144"/>
      </w:pPr>
      <w:r>
        <w:rPr>
          <w:rFonts w:ascii="Arial" w:cs="Arial" w:eastAsia="Arial" w:hAnsi="Arial"/>
          <w:b/>
          <w:bCs/>
          <w:i w:val="false"/>
          <w:iCs w:val="false"/>
          <w:color w:val="FFFFFF"/>
          <w:sz w:val="26"/>
          <w:szCs w:val="26"/>
        </w:rPr>
        <w:t xml:space="preserve">4. APPROBATION ET REVISIONS</w:t>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tblGrid>
      <w:tr>
        <w:tc>
          <w:tcPr>
            <w:tcW w:type="pct" w:w="1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Version</w:t>
            </w:r>
          </w:p>
        </w:tc>
        <w:tc>
          <w:tcPr>
            <w:tcW w:type="pct" w:w="2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Date</w:t>
            </w:r>
          </w:p>
        </w:tc>
        <w:tc>
          <w:tcPr>
            <w:tcW w:type="pct" w:w="4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Modifications</w:t>
            </w:r>
          </w:p>
        </w:tc>
        <w:tc>
          <w:tcPr>
            <w:tcW w:type="pct" w:w="3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Approbateur</w:t>
            </w:r>
          </w:p>
        </w:tc>
      </w:tr>
      <w:tr>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1.0</w:t>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w:t>
            </w:r>
          </w:p>
        </w:tc>
        <w:tc>
          <w:tcPr>
            <w:tcW w:type="pct" w:w="4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Création initiale</w:t>
            </w:r>
          </w:p>
        </w:tc>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________________</w:t>
            </w:r>
          </w:p>
        </w:tc>
      </w:tr>
      <w:tr>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4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center"/>
      </w:pPr>
      <w:r>
        <w:rPr>
          <w:rFonts w:ascii="Arial" w:cs="Arial" w:eastAsia="Arial" w:hAnsi="Arial"/>
          <w:b w:val="false"/>
          <w:bCs w:val="false"/>
          <w:i/>
          <w:iCs/>
          <w:color w:val="64748B"/>
          <w:sz w:val="18"/>
          <w:szCs w:val="18"/>
        </w:rPr>
        <w:t xml:space="preserve">✦ Ressource gratuite ISOthèque — isotheque.fr — §4.1 + §4.3 ISO 9001:2015 — Reproduction autorisée pour usage professionnel interne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single" w:color="2563EB" w:sz="4"/>
        <w:left w:val="none" w:color="FFFFFF" w:sz="0"/>
        <w:bottom w:val="none" w:color="FFFFFF" w:sz="0"/>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iCs/>
              <w:color w:val="64748B"/>
              <w:sz w:val="16"/>
              <w:szCs w:val="16"/>
            </w:rPr>
            <w:t xml:space="preserve">Ressource gratuite ISOthèque — isotheque.fr — Reproduction autorisée pour usage professionnel interne</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val="false"/>
              <w:bCs w:val="false"/>
              <w:i w:val="false"/>
              <w:iCs w:val="false"/>
              <w:color w:val="64748B"/>
              <w:sz w:val="16"/>
              <w:szCs w:val="16"/>
            </w:rPr>
            <w:t xml:space="preserve">Page </w:t>
          </w:r>
          <w:r>
            <w:rPr>
              <w:rFonts w:ascii="Arial" w:cs="Arial" w:eastAsia="Arial" w:hAnsi="Arial"/>
              <w:color w:val="64748B"/>
              <w:sz w:val="16"/>
              <w:szCs w:val="16"/>
            </w:rPr>
            <w:fldChar w:fldCharType="begin"/>
            <w:instrText xml:space="preserve">PAGE</w:instrText>
            <w:fldChar w:fldCharType="separate"/>
            <w:fldChar w:fldCharType="end"/>
          </w:r>
          <w:r>
            <w:rPr>
              <w:rFonts w:ascii="Arial" w:cs="Arial" w:eastAsia="Arial" w:hAnsi="Arial"/>
              <w:b w:val="false"/>
              <w:bCs w:val="false"/>
              <w:i w:val="false"/>
              <w:iCs w:val="false"/>
              <w:color w:val="64748B"/>
              <w:sz w:val="16"/>
              <w:szCs w:val="16"/>
            </w:rPr>
            <w:t xml:space="preserve"> / </w:t>
          </w:r>
          <w:r>
            <w:rPr>
              <w:rFonts w:ascii="Arial" w:cs="Arial" w:eastAsia="Arial" w:hAnsi="Arial"/>
              <w:color w:val="64748B"/>
              <w:sz w:val="16"/>
              <w:szCs w:val="16"/>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FFFFFF" w:sz="0"/>
        <w:left w:val="none" w:color="FFFFFF" w:sz="0"/>
        <w:bottom w:val="single" w:color="2563EB" w:sz="4"/>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Fiche de domaine d'application et enjeux organisationnels — ISO 9001:2015</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bCs/>
              <w:i w:val="false"/>
              <w:iCs w:val="false"/>
              <w:color w:val="2563EB"/>
              <w:sz w:val="18"/>
              <w:szCs w:val="18"/>
            </w:rPr>
            <w:t xml:space="preserve">isotheque.fr</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domaine d'application et enjeux — ISO 9001:2015</dc:title>
  <dc:creator>ISOthèque</dc:creator>
  <cp:lastModifiedBy>Un-named</cp:lastModifiedBy>
  <cp:revision>1</cp:revision>
  <dcterms:created xsi:type="dcterms:W3CDTF">2026-06-12T13:48:18.342Z</dcterms:created>
  <dcterms:modified xsi:type="dcterms:W3CDTF">2026-06-12T13:48:18.347Z</dcterms:modified>
</cp:coreProperties>
</file>

<file path=docProps/custom.xml><?xml version="1.0" encoding="utf-8"?>
<Properties xmlns="http://schemas.openxmlformats.org/officeDocument/2006/custom-properties" xmlns:vt="http://schemas.openxmlformats.org/officeDocument/2006/docPropsVTypes"/>
</file>