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rPr>
          <w:trHeight w:val="380" w:hRule="exact"/>
        </w:trPr>
        <w:tc>
          <w:tcPr>
            <w:tcBorders>
              <w:top w:val="none" w:color="FFFFFF" w:sz="0"/>
              <w:left w:val="none" w:color="FFFFFF" w:sz="0"/>
              <w:bottom w:val="none" w:color="FFFFFF" w:sz="0"/>
              <w:right w:val="none" w:color="FFFFFF" w:sz="0"/>
            </w:tcBorders>
            <w:shd w:fill="16A34A" w:color="16A34A" w:val="solid"/>
            <w:tcMar>
              <w:top w:type="dxa" w:w="80"/>
              <w:left w:type="dxa" w:w="120"/>
              <w:bottom w:type="dxa" w:w="80"/>
              <w:right w:type="dxa" w:w="120"/>
            </w:tcMar>
            <w:vAlign w:val="center"/>
          </w:tcPr>
          <w:p>
            <w:pPr>
              <w:spacing w:after="400" w:before="0" w:line="276"/>
              <w:jc w:val="center"/>
            </w:pPr>
            <w:r>
              <w:rPr>
                <w:rFonts w:ascii="Arial" w:cs="Arial" w:eastAsia="Arial" w:hAnsi="Arial"/>
                <w:b/>
                <w:bCs/>
                <w:i w:val="false"/>
                <w:iCs w:val="false"/>
                <w:color w:val="86EFAC"/>
                <w:sz w:val="20"/>
                <w:szCs w:val="20"/>
              </w:rPr>
              <w:t xml:space="preserve">✦ RESSOURCE GRATUITE</w:t>
            </w:r>
          </w:p>
          <w:p>
            <w:pPr>
              <w:spacing w:after="200" w:before="0" w:line="276"/>
              <w:jc w:val="center"/>
            </w:pPr>
            <w:r>
              <w:rPr>
                <w:rFonts w:ascii="Arial" w:cs="Arial" w:eastAsia="Arial" w:hAnsi="Arial"/>
                <w:b/>
                <w:bCs/>
                <w:i w:val="false"/>
                <w:iCs w:val="false"/>
                <w:color w:val="FFFFFF"/>
                <w:sz w:val="44"/>
                <w:szCs w:val="44"/>
              </w:rPr>
              <w:t xml:space="preserve">MAÎTRISE DES RISQUES SST</w:t>
            </w:r>
          </w:p>
          <w:p>
            <w:pPr>
              <w:spacing w:after="400" w:before="0" w:line="276"/>
              <w:jc w:val="center"/>
            </w:pPr>
            <w:r>
              <w:rPr>
                <w:rFonts w:ascii="Arial" w:cs="Arial" w:eastAsia="Arial" w:hAnsi="Arial"/>
                <w:b/>
                <w:bCs/>
                <w:i w:val="false"/>
                <w:iCs w:val="false"/>
                <w:color w:val="FFFFFF"/>
                <w:sz w:val="36"/>
                <w:szCs w:val="36"/>
              </w:rPr>
              <w:t xml:space="preserve">ET GESTION DU CHANGEMENT</w:t>
            </w:r>
          </w:p>
          <w:p>
            <w:pPr>
              <w:spacing w:after="300" w:before="0" w:line="276"/>
              <w:jc w:val="center"/>
            </w:pPr>
            <w:r>
              <w:rPr>
                <w:rFonts w:ascii="Arial" w:cs="Arial" w:eastAsia="Arial" w:hAnsi="Arial"/>
                <w:b/>
                <w:bCs/>
                <w:i w:val="false"/>
                <w:iCs w:val="false"/>
                <w:color w:val="DBEAFE"/>
                <w:sz w:val="26"/>
                <w:szCs w:val="26"/>
              </w:rPr>
              <w:t xml:space="preserve">ISO 45001:2018 — §8.1.2 / §8.1.3</w:t>
            </w:r>
          </w:p>
          <w:p>
            <w:pPr>
              <w:spacing w:after="800" w:before="0" w:line="276"/>
              <w:jc w:val="center"/>
            </w:pPr>
            <w:r>
              <w:rPr>
                <w:rFonts w:ascii="Arial" w:cs="Arial" w:eastAsia="Arial" w:hAnsi="Arial"/>
                <w:b w:val="false"/>
                <w:bCs w:val="false"/>
                <w:i/>
                <w:iCs/>
                <w:color w:val="DBEAFE"/>
                <w:sz w:val="20"/>
                <w:szCs w:val="20"/>
              </w:rPr>
              <w:t xml:space="preserve">Hiérarchie des mesures de maîtrise des risques SST et procédure de gestion des changements</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gridCol w:w="100"/>
        <w:gridCol w:w="100"/>
      </w:tblGrid>
      <w:tr>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Référence</w:t>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6A34A"/>
                <w:sz w:val="20"/>
                <w:szCs w:val="20"/>
              </w:rPr>
              <w:t xml:space="preserve">FOR-SST-012</w:t>
            </w:r>
          </w:p>
        </w:tc>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Version</w:t>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1.0</w:t>
            </w:r>
          </w:p>
        </w:tc>
      </w:tr>
      <w:tr>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Organisme</w:t>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________________________________________</w:t>
            </w:r>
          </w:p>
        </w:tc>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Date</w:t>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__ / __ / 20__</w:t>
            </w:r>
          </w:p>
        </w:tc>
      </w:tr>
      <w:tr>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Rédacteur</w:t>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20"/>
                <w:szCs w:val="20"/>
              </w:rPr>
              <w:t xml:space="preserve">Responsable SST</w:t>
            </w:r>
          </w:p>
        </w:tc>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Approbateur</w:t>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20"/>
                <w:szCs w:val="20"/>
              </w:rPr>
              <w:t xml:space="preserve">Direction</w:t>
            </w:r>
          </w:p>
        </w:tc>
      </w:tr>
      <w:tr>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Chapitres ISO</w:t>
            </w:r>
          </w:p>
        </w:tc>
        <w:tc>
          <w:tcPr>
            <w:tcW w:type="pct" w:w="80%"/>
            <w:gridSpan w:val="3"/>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§8.1.2 — Élimination des dangers et réduction des risques SST · §8.1.3 — Gestion du changement</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2563EB" w:sz="8"/>
          <w:left w:val="single" w:color="2563EB" w:sz="8"/>
          <w:bottom w:val="single" w:color="2563EB" w:sz="8"/>
          <w:right w:val="single" w:color="2563EB" w:sz="8"/>
          <w:insideH w:val="single" w:color="auto" w:sz="4"/>
          <w:insideV w:val="single" w:color="auto" w:sz="4"/>
        </w:tblBorders>
      </w:tblPr>
      <w:tblGrid>
        <w:gridCol w:w="100"/>
      </w:tblGrid>
      <w:tr>
        <w:tc>
          <w:tcPr>
            <w:tcBorders>
              <w:top w:val="single" w:color="2563EB" w:sz="8"/>
              <w:left w:val="single" w:color="2563EB" w:sz="8"/>
              <w:bottom w:val="single" w:color="2563EB" w:sz="8"/>
              <w:right w:val="single" w:color="2563EB" w:sz="8"/>
            </w:tcBorders>
            <w:shd w:fill="DBEAFE" w:color="DBEAFE" w:val="solid"/>
            <w:tcMar>
              <w:top w:type="dxa" w:w="80"/>
              <w:left w:type="dxa" w:w="120"/>
              <w:bottom w:type="dxa" w:w="80"/>
              <w:right w:type="dxa" w:w="120"/>
            </w:tcMar>
          </w:tcPr>
          <w:p>
            <w:pPr>
              <w:spacing w:after="800" w:before="0" w:line="276"/>
              <w:jc w:val="left"/>
            </w:pPr>
            <w:r>
              <w:rPr>
                <w:rFonts w:ascii="Arial" w:cs="Arial" w:eastAsia="Arial" w:hAnsi="Arial"/>
                <w:b w:val="false"/>
                <w:bCs w:val="false"/>
                <w:i/>
                <w:iCs/>
                <w:color w:val="1A1A2E"/>
                <w:sz w:val="18"/>
                <w:szCs w:val="18"/>
              </w:rPr>
              <w:t xml:space="preserve">§8.1.2 — L'organisme doit établir et mettre en œuvre des processus permettant d'éliminer les dangers et de réduire les risques SST, en utilisant la hiérarchie de maîtrise suivante : élimination → substitution → mesures techniques → mesures administratives → EPI. §8.1.3 — L'organisme doit mettre en place un processus permettant de maîtriser les changements temporaires ou permanents ayant un impact sur la performance SST.</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16A34A" w:color="16A34A" w:val="solid"/>
            <w:tcMar>
              <w:top w:type="dxa" w:w="60"/>
              <w:left w:type="dxa" w:w="120"/>
              <w:bottom w:type="dxa" w:w="60"/>
              <w:right w:type="dxa" w:w="120"/>
            </w:tcMar>
          </w:tcPr>
          <w:p>
            <w:pPr>
              <w:spacing w:after="60" w:before="60" w:line="276"/>
            </w:pPr>
            <w:r>
              <w:rPr>
                <w:rFonts w:ascii="Arial" w:cs="Arial" w:eastAsia="Arial" w:hAnsi="Arial"/>
                <w:b/>
                <w:bCs/>
                <w:i w:val="false"/>
                <w:iCs w:val="false"/>
                <w:color w:val="FFFFFF"/>
                <w:sz w:val="24"/>
                <w:szCs w:val="24"/>
              </w:rPr>
              <w:t xml:space="preserve">Section 1 — Hiérarchie des mesures de maîtrise des risques SST (§8.1.2)</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DC2626" w:sz="8"/>
          <w:left w:val="single" w:color="DC2626" w:sz="8"/>
          <w:bottom w:val="single" w:color="DC2626" w:sz="8"/>
          <w:right w:val="single" w:color="DC2626" w:sz="8"/>
          <w:insideH w:val="single" w:color="auto" w:sz="4"/>
          <w:insideV w:val="single" w:color="auto" w:sz="4"/>
        </w:tblBorders>
      </w:tblPr>
      <w:tblGrid>
        <w:gridCol w:w="100"/>
      </w:tblGrid>
      <w:tr>
        <w:tc>
          <w:tcPr>
            <w:tcBorders>
              <w:top w:val="single" w:color="DC2626" w:sz="8"/>
              <w:left w:val="single" w:color="DC2626" w:sz="8"/>
              <w:bottom w:val="single" w:color="DC2626" w:sz="8"/>
              <w:right w:val="single" w:color="DC2626" w:sz="8"/>
            </w:tcBorders>
            <w:shd w:fill="FFF1F2" w:color="FFF1F2" w:val="solid"/>
            <w:tcMar>
              <w:top w:type="dxa" w:w="80"/>
              <w:left w:type="dxa" w:w="120"/>
              <w:bottom w:type="dxa" w:w="80"/>
              <w:right w:type="dxa" w:w="120"/>
            </w:tcMar>
          </w:tcPr>
          <w:p>
            <w:pPr>
              <w:spacing w:after="800" w:before="0" w:line="276"/>
              <w:jc w:val="left"/>
            </w:pPr>
            <w:r>
              <w:rPr>
                <w:rFonts w:ascii="Arial" w:cs="Arial" w:eastAsia="Arial" w:hAnsi="Arial"/>
                <w:b w:val="false"/>
                <w:bCs w:val="false"/>
                <w:i/>
                <w:iCs/>
                <w:color w:val="1A1A2E"/>
                <w:sz w:val="18"/>
                <w:szCs w:val="18"/>
              </w:rPr>
              <w:t xml:space="preserve">⚠  La hiérarchie est impérative : les EPI sont toujours la dernière option, et uniquement lorsque les mesures de niveaux 1 à 4 sont insuffisantes, impossibles ou en attente de mise en œuvre. Un EPI seul n'est jamais une solution de maîtrise satisfaisante à long terme.</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gridCol w:w="100"/>
        <w:gridCol w:w="100"/>
        <w:gridCol w:w="100"/>
      </w:tblGrid>
      <w:tr>
        <w:tc>
          <w:tcPr>
            <w:tcW w:type="pct" w:w="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Niveau</w:t>
            </w:r>
          </w:p>
        </w:tc>
        <w:tc>
          <w:tcPr>
            <w:tcW w:type="pct" w:w="2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Mesure de maîtrise</w:t>
            </w:r>
          </w:p>
        </w:tc>
        <w:tc>
          <w:tcPr>
            <w:tcW w:type="pct" w:w="4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Description / Exemples</w:t>
            </w:r>
          </w:p>
        </w:tc>
        <w:tc>
          <w:tcPr>
            <w:tcW w:type="pct" w:w="1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Efficacité</w:t>
            </w:r>
          </w:p>
        </w:tc>
        <w:tc>
          <w:tcPr>
            <w:tcW w:type="pct" w:w="1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Priorité d'application</w:t>
            </w:r>
          </w:p>
        </w:tc>
      </w:tr>
      <w:tr>
        <w:tc>
          <w:tcPr>
            <w:tcW w:type="pct" w:w="5%"/>
            <w:gridSpan w:val="1"/>
            <w:tcBorders>
              <w:top w:val="single" w:color="E2E8F0" w:sz="4"/>
              <w:left w:val="single" w:color="E2E8F0" w:sz="4"/>
              <w:bottom w:val="single" w:color="E2E8F0" w:sz="4"/>
              <w:right w:val="single" w:color="E2E8F0" w:sz="4"/>
            </w:tcBorders>
            <w:shd w:fill="DCFCE7" w:color="DCFCE7"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16A34A"/>
                <w:sz w:val="24"/>
                <w:szCs w:val="24"/>
              </w:rPr>
              <w:t xml:space="preserve">1</w:t>
            </w:r>
          </w:p>
        </w:tc>
        <w:tc>
          <w:tcPr>
            <w:tcW w:type="pct" w:w="20%"/>
            <w:gridSpan w:val="1"/>
            <w:tcBorders>
              <w:top w:val="single" w:color="E2E8F0" w:sz="4"/>
              <w:left w:val="single" w:color="E2E8F0" w:sz="4"/>
              <w:bottom w:val="single" w:color="E2E8F0" w:sz="4"/>
              <w:right w:val="single" w:color="E2E8F0" w:sz="4"/>
            </w:tcBorders>
            <w:shd w:fill="DCFCE7" w:color="DCFCE7"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6A34A"/>
                <w:sz w:val="20"/>
                <w:szCs w:val="20"/>
              </w:rPr>
              <w:t xml:space="preserve">Élimination</w:t>
            </w:r>
          </w:p>
        </w:tc>
        <w:tc>
          <w:tcPr>
            <w:tcW w:type="pct" w:w="45%"/>
            <w:gridSpan w:val="1"/>
            <w:tcBorders>
              <w:top w:val="single" w:color="E2E8F0" w:sz="4"/>
              <w:left w:val="single" w:color="E2E8F0" w:sz="4"/>
              <w:bottom w:val="single" w:color="E2E8F0" w:sz="4"/>
              <w:right w:val="single" w:color="E2E8F0" w:sz="4"/>
            </w:tcBorders>
            <w:shd w:fill="DCFCE7" w:color="DCFCE7"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Supprimer le danger à la source. Exemples : arrêt d'utilisation d'une substance cancérigène, automatisation complète d'une tâche dangereuse, suppression d'un travail en hauteur par redéfinition du procédé.</w:t>
            </w:r>
          </w:p>
        </w:tc>
        <w:tc>
          <w:tcPr>
            <w:tcW w:type="pct" w:w="15%"/>
            <w:gridSpan w:val="1"/>
            <w:tcBorders>
              <w:top w:val="single" w:color="E2E8F0" w:sz="4"/>
              <w:left w:val="single" w:color="E2E8F0" w:sz="4"/>
              <w:bottom w:val="single" w:color="E2E8F0" w:sz="4"/>
              <w:right w:val="single" w:color="E2E8F0" w:sz="4"/>
            </w:tcBorders>
            <w:shd w:fill="DCFCE7" w:color="DCFCE7"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16A34A"/>
                <w:sz w:val="20"/>
                <w:szCs w:val="20"/>
              </w:rPr>
              <w:t xml:space="preserve">★★★★★</w:t>
            </w:r>
          </w:p>
        </w:tc>
        <w:tc>
          <w:tcPr>
            <w:tcW w:type="pct" w:w="15%"/>
            <w:gridSpan w:val="1"/>
            <w:tcBorders>
              <w:top w:val="single" w:color="E2E8F0" w:sz="4"/>
              <w:left w:val="single" w:color="E2E8F0" w:sz="4"/>
              <w:bottom w:val="single" w:color="E2E8F0" w:sz="4"/>
              <w:right w:val="single" w:color="E2E8F0" w:sz="4"/>
            </w:tcBorders>
            <w:shd w:fill="DCFCE7" w:color="DCFCE7"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16A34A"/>
                <w:sz w:val="18"/>
                <w:szCs w:val="18"/>
              </w:rPr>
              <w:t xml:space="preserve">PRIORITAIRE</w:t>
            </w:r>
          </w:p>
        </w:tc>
      </w:tr>
      <w:tr>
        <w:tc>
          <w:tcPr>
            <w:tcW w:type="pct" w:w="5%"/>
            <w:gridSpan w:val="1"/>
            <w:tcBorders>
              <w:top w:val="single" w:color="E2E8F0" w:sz="4"/>
              <w:left w:val="single" w:color="E2E8F0" w:sz="4"/>
              <w:bottom w:val="single" w:color="E2E8F0" w:sz="4"/>
              <w:right w:val="single" w:color="E2E8F0" w:sz="4"/>
            </w:tcBorders>
            <w:shd w:fill="DBEAFE" w:color="DBEAFE"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2563EB"/>
                <w:sz w:val="24"/>
                <w:szCs w:val="24"/>
              </w:rPr>
              <w:t xml:space="preserve">2</w:t>
            </w:r>
          </w:p>
        </w:tc>
        <w:tc>
          <w:tcPr>
            <w:tcW w:type="pct" w:w="20%"/>
            <w:gridSpan w:val="1"/>
            <w:tcBorders>
              <w:top w:val="single" w:color="E2E8F0" w:sz="4"/>
              <w:left w:val="single" w:color="E2E8F0" w:sz="4"/>
              <w:bottom w:val="single" w:color="E2E8F0" w:sz="4"/>
              <w:right w:val="single" w:color="E2E8F0" w:sz="4"/>
            </w:tcBorders>
            <w:shd w:fill="DBEAFE" w:color="DBEAFE"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2563EB"/>
                <w:sz w:val="20"/>
                <w:szCs w:val="20"/>
              </w:rPr>
              <w:t xml:space="preserve">Substitution</w:t>
            </w:r>
          </w:p>
        </w:tc>
        <w:tc>
          <w:tcPr>
            <w:tcW w:type="pct" w:w="45%"/>
            <w:gridSpan w:val="1"/>
            <w:tcBorders>
              <w:top w:val="single" w:color="E2E8F0" w:sz="4"/>
              <w:left w:val="single" w:color="E2E8F0" w:sz="4"/>
              <w:bottom w:val="single" w:color="E2E8F0" w:sz="4"/>
              <w:right w:val="single" w:color="E2E8F0" w:sz="4"/>
            </w:tcBorders>
            <w:shd w:fill="DBEAFE" w:color="DBEAFE"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Remplacer par quelque chose de moins dangereux. Exemples : substituer un solvant CMR par un solvant moins nocif, remplacer un outil vibrant par un modèle anti-vibrations, réduire les charges manutentionnées.</w:t>
            </w:r>
          </w:p>
        </w:tc>
        <w:tc>
          <w:tcPr>
            <w:tcW w:type="pct" w:w="15%"/>
            <w:gridSpan w:val="1"/>
            <w:tcBorders>
              <w:top w:val="single" w:color="E2E8F0" w:sz="4"/>
              <w:left w:val="single" w:color="E2E8F0" w:sz="4"/>
              <w:bottom w:val="single" w:color="E2E8F0" w:sz="4"/>
              <w:right w:val="single" w:color="E2E8F0" w:sz="4"/>
            </w:tcBorders>
            <w:shd w:fill="DBEAFE" w:color="DBEAFE"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2563EB"/>
                <w:sz w:val="20"/>
                <w:szCs w:val="20"/>
              </w:rPr>
              <w:t xml:space="preserve">★★★★☆</w:t>
            </w:r>
          </w:p>
        </w:tc>
        <w:tc>
          <w:tcPr>
            <w:tcW w:type="pct" w:w="15%"/>
            <w:gridSpan w:val="1"/>
            <w:tcBorders>
              <w:top w:val="single" w:color="E2E8F0" w:sz="4"/>
              <w:left w:val="single" w:color="E2E8F0" w:sz="4"/>
              <w:bottom w:val="single" w:color="E2E8F0" w:sz="4"/>
              <w:right w:val="single" w:color="E2E8F0" w:sz="4"/>
            </w:tcBorders>
            <w:shd w:fill="DBEAFE" w:color="DBEAFE"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2563EB"/>
                <w:sz w:val="18"/>
                <w:szCs w:val="18"/>
              </w:rPr>
              <w:t xml:space="preserve">FORT</w:t>
            </w:r>
          </w:p>
        </w:tc>
      </w:tr>
      <w:tr>
        <w:tc>
          <w:tcPr>
            <w:tcW w:type="pct" w:w="5%"/>
            <w:gridSpan w:val="1"/>
            <w:tcBorders>
              <w:top w:val="single" w:color="E2E8F0" w:sz="4"/>
              <w:left w:val="single" w:color="E2E8F0" w:sz="4"/>
              <w:bottom w:val="single" w:color="E2E8F0" w:sz="4"/>
              <w:right w:val="single" w:color="E2E8F0" w:sz="4"/>
            </w:tcBorders>
            <w:shd w:fill="FFF7ED" w:color="FFF7ED"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D97706"/>
                <w:sz w:val="24"/>
                <w:szCs w:val="24"/>
              </w:rPr>
              <w:t xml:space="preserve">3</w:t>
            </w:r>
          </w:p>
        </w:tc>
        <w:tc>
          <w:tcPr>
            <w:tcW w:type="pct" w:w="20%"/>
            <w:gridSpan w:val="1"/>
            <w:tcBorders>
              <w:top w:val="single" w:color="E2E8F0" w:sz="4"/>
              <w:left w:val="single" w:color="E2E8F0" w:sz="4"/>
              <w:bottom w:val="single" w:color="E2E8F0" w:sz="4"/>
              <w:right w:val="single" w:color="E2E8F0" w:sz="4"/>
            </w:tcBorders>
            <w:shd w:fill="FFF7ED" w:color="FFF7ED"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D97706"/>
                <w:sz w:val="20"/>
                <w:szCs w:val="20"/>
              </w:rPr>
              <w:t xml:space="preserve">Mesures techniques (protection collective)</w:t>
            </w:r>
          </w:p>
        </w:tc>
        <w:tc>
          <w:tcPr>
            <w:tcW w:type="pct" w:w="45%"/>
            <w:gridSpan w:val="1"/>
            <w:tcBorders>
              <w:top w:val="single" w:color="E2E8F0" w:sz="4"/>
              <w:left w:val="single" w:color="E2E8F0" w:sz="4"/>
              <w:bottom w:val="single" w:color="E2E8F0" w:sz="4"/>
              <w:right w:val="single" w:color="E2E8F0" w:sz="4"/>
            </w:tcBorders>
            <w:shd w:fill="FFF7ED" w:color="FFF7ED"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Agir sur l'environnement de travail. Exemples : aspiration à la source, capotage des machines, garde-corps, détecteur de présence, signalisation lumineuse, verrouillage électrique, isolation phonique.</w:t>
            </w:r>
          </w:p>
        </w:tc>
        <w:tc>
          <w:tcPr>
            <w:tcW w:type="pct" w:w="15%"/>
            <w:gridSpan w:val="1"/>
            <w:tcBorders>
              <w:top w:val="single" w:color="E2E8F0" w:sz="4"/>
              <w:left w:val="single" w:color="E2E8F0" w:sz="4"/>
              <w:bottom w:val="single" w:color="E2E8F0" w:sz="4"/>
              <w:right w:val="single" w:color="E2E8F0" w:sz="4"/>
            </w:tcBorders>
            <w:shd w:fill="FFF7ED" w:color="FFF7ED"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D97706"/>
                <w:sz w:val="20"/>
                <w:szCs w:val="20"/>
              </w:rPr>
              <w:t xml:space="preserve">★★★☆☆</w:t>
            </w:r>
          </w:p>
        </w:tc>
        <w:tc>
          <w:tcPr>
            <w:tcW w:type="pct" w:w="15%"/>
            <w:gridSpan w:val="1"/>
            <w:tcBorders>
              <w:top w:val="single" w:color="E2E8F0" w:sz="4"/>
              <w:left w:val="single" w:color="E2E8F0" w:sz="4"/>
              <w:bottom w:val="single" w:color="E2E8F0" w:sz="4"/>
              <w:right w:val="single" w:color="E2E8F0" w:sz="4"/>
            </w:tcBorders>
            <w:shd w:fill="FFF7ED" w:color="FFF7ED"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D97706"/>
                <w:sz w:val="18"/>
                <w:szCs w:val="18"/>
              </w:rPr>
              <w:t xml:space="preserve">FORT</w:t>
            </w:r>
          </w:p>
        </w:tc>
      </w:tr>
      <w:tr>
        <w:tc>
          <w:tcPr>
            <w:tcW w:type="pct" w:w="5%"/>
            <w:gridSpan w:val="1"/>
            <w:tcBorders>
              <w:top w:val="single" w:color="E2E8F0" w:sz="4"/>
              <w:left w:val="single" w:color="E2E8F0" w:sz="4"/>
              <w:bottom w:val="single" w:color="E2E8F0" w:sz="4"/>
              <w:right w:val="single" w:color="E2E8F0" w:sz="4"/>
            </w:tcBorders>
            <w:shd w:fill="FEF9C3" w:color="FEF9C3"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CA8A04"/>
                <w:sz w:val="24"/>
                <w:szCs w:val="24"/>
              </w:rPr>
              <w:t xml:space="preserve">4</w:t>
            </w:r>
          </w:p>
        </w:tc>
        <w:tc>
          <w:tcPr>
            <w:tcW w:type="pct" w:w="20%"/>
            <w:gridSpan w:val="1"/>
            <w:tcBorders>
              <w:top w:val="single" w:color="E2E8F0" w:sz="4"/>
              <w:left w:val="single" w:color="E2E8F0" w:sz="4"/>
              <w:bottom w:val="single" w:color="E2E8F0" w:sz="4"/>
              <w:right w:val="single" w:color="E2E8F0" w:sz="4"/>
            </w:tcBorders>
            <w:shd w:fill="FEF9C3" w:color="FEF9C3"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CA8A04"/>
                <w:sz w:val="20"/>
                <w:szCs w:val="20"/>
              </w:rPr>
              <w:t xml:space="preserve">Mesures administratives / organisationnelles</w:t>
            </w:r>
          </w:p>
        </w:tc>
        <w:tc>
          <w:tcPr>
            <w:tcW w:type="pct" w:w="45%"/>
            <w:gridSpan w:val="1"/>
            <w:tcBorders>
              <w:top w:val="single" w:color="E2E8F0" w:sz="4"/>
              <w:left w:val="single" w:color="E2E8F0" w:sz="4"/>
              <w:bottom w:val="single" w:color="E2E8F0" w:sz="4"/>
              <w:right w:val="single" w:color="E2E8F0" w:sz="4"/>
            </w:tcBorders>
            <w:shd w:fill="FEF9C3" w:color="FEF9C3"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Agir sur l'organisation du travail. Exemples : rotation des postes (TMS), permis de travail, procédures opératoires, formations, consignation/déconsignation, limitation du temps d'exposition.</w:t>
            </w:r>
          </w:p>
        </w:tc>
        <w:tc>
          <w:tcPr>
            <w:tcW w:type="pct" w:w="15%"/>
            <w:gridSpan w:val="1"/>
            <w:tcBorders>
              <w:top w:val="single" w:color="E2E8F0" w:sz="4"/>
              <w:left w:val="single" w:color="E2E8F0" w:sz="4"/>
              <w:bottom w:val="single" w:color="E2E8F0" w:sz="4"/>
              <w:right w:val="single" w:color="E2E8F0" w:sz="4"/>
            </w:tcBorders>
            <w:shd w:fill="FEF9C3" w:color="FEF9C3"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CA8A04"/>
                <w:sz w:val="20"/>
                <w:szCs w:val="20"/>
              </w:rPr>
              <w:t xml:space="preserve">★★☆☆☆</w:t>
            </w:r>
          </w:p>
        </w:tc>
        <w:tc>
          <w:tcPr>
            <w:tcW w:type="pct" w:w="15%"/>
            <w:gridSpan w:val="1"/>
            <w:tcBorders>
              <w:top w:val="single" w:color="E2E8F0" w:sz="4"/>
              <w:left w:val="single" w:color="E2E8F0" w:sz="4"/>
              <w:bottom w:val="single" w:color="E2E8F0" w:sz="4"/>
              <w:right w:val="single" w:color="E2E8F0" w:sz="4"/>
            </w:tcBorders>
            <w:shd w:fill="FEF9C3" w:color="FEF9C3"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CA8A04"/>
                <w:sz w:val="18"/>
                <w:szCs w:val="18"/>
              </w:rPr>
              <w:t xml:space="preserve">MODÉRÉ</w:t>
            </w:r>
          </w:p>
        </w:tc>
      </w:tr>
      <w:tr>
        <w:tc>
          <w:tcPr>
            <w:tcW w:type="pct" w:w="5%"/>
            <w:gridSpan w:val="1"/>
            <w:tcBorders>
              <w:top w:val="single" w:color="E2E8F0" w:sz="4"/>
              <w:left w:val="single" w:color="E2E8F0" w:sz="4"/>
              <w:bottom w:val="single" w:color="E2E8F0" w:sz="4"/>
              <w:right w:val="single" w:color="E2E8F0" w:sz="4"/>
            </w:tcBorders>
            <w:shd w:fill="FFF1F2" w:color="FFF1F2"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DC2626"/>
                <w:sz w:val="24"/>
                <w:szCs w:val="24"/>
              </w:rPr>
              <w:t xml:space="preserve">5</w:t>
            </w:r>
          </w:p>
        </w:tc>
        <w:tc>
          <w:tcPr>
            <w:tcW w:type="pct" w:w="20%"/>
            <w:gridSpan w:val="1"/>
            <w:tcBorders>
              <w:top w:val="single" w:color="E2E8F0" w:sz="4"/>
              <w:left w:val="single" w:color="E2E8F0" w:sz="4"/>
              <w:bottom w:val="single" w:color="E2E8F0" w:sz="4"/>
              <w:right w:val="single" w:color="E2E8F0" w:sz="4"/>
            </w:tcBorders>
            <w:shd w:fill="FFF1F2" w:color="FFF1F2"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DC2626"/>
                <w:sz w:val="20"/>
                <w:szCs w:val="20"/>
              </w:rPr>
              <w:t xml:space="preserve">Équipements de Protection Individuelle (EPI)</w:t>
            </w:r>
          </w:p>
        </w:tc>
        <w:tc>
          <w:tcPr>
            <w:tcW w:type="pct" w:w="45%"/>
            <w:gridSpan w:val="1"/>
            <w:tcBorders>
              <w:top w:val="single" w:color="E2E8F0" w:sz="4"/>
              <w:left w:val="single" w:color="E2E8F0" w:sz="4"/>
              <w:bottom w:val="single" w:color="E2E8F0" w:sz="4"/>
              <w:right w:val="single" w:color="E2E8F0" w:sz="4"/>
            </w:tcBorders>
            <w:shd w:fill="FFF1F2" w:color="FFF1F2"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Protéger individuellement le travailleur. Exemples : casque, gants, lunettes, bouchons auditifs, chaussures de sécurité, harnais antichute, masque respiratoire.</w:t>
            </w:r>
          </w:p>
        </w:tc>
        <w:tc>
          <w:tcPr>
            <w:tcW w:type="pct" w:w="15%"/>
            <w:gridSpan w:val="1"/>
            <w:tcBorders>
              <w:top w:val="single" w:color="E2E8F0" w:sz="4"/>
              <w:left w:val="single" w:color="E2E8F0" w:sz="4"/>
              <w:bottom w:val="single" w:color="E2E8F0" w:sz="4"/>
              <w:right w:val="single" w:color="E2E8F0" w:sz="4"/>
            </w:tcBorders>
            <w:shd w:fill="FFF1F2" w:color="FFF1F2"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DC2626"/>
                <w:sz w:val="20"/>
                <w:szCs w:val="20"/>
              </w:rPr>
              <w:t xml:space="preserve">★☆☆☆☆</w:t>
            </w:r>
          </w:p>
        </w:tc>
        <w:tc>
          <w:tcPr>
            <w:tcW w:type="pct" w:w="15%"/>
            <w:gridSpan w:val="1"/>
            <w:tcBorders>
              <w:top w:val="single" w:color="E2E8F0" w:sz="4"/>
              <w:left w:val="single" w:color="E2E8F0" w:sz="4"/>
              <w:bottom w:val="single" w:color="E2E8F0" w:sz="4"/>
              <w:right w:val="single" w:color="E2E8F0" w:sz="4"/>
            </w:tcBorders>
            <w:shd w:fill="FFF1F2" w:color="FFF1F2" w:val="solid"/>
            <w:tcMar>
              <w:top w:type="dxa" w:w="80"/>
              <w:left w:type="dxa" w:w="100"/>
              <w:bottom w:type="dxa" w:w="80"/>
              <w:right w:type="dxa" w:w="100"/>
            </w:tcMar>
            <w:vAlign w:val="center"/>
          </w:tcPr>
          <w:p>
            <w:pPr>
              <w:spacing w:after="800" w:before="0" w:line="276"/>
              <w:jc w:val="center"/>
            </w:pPr>
            <w:r>
              <w:rPr>
                <w:rFonts w:ascii="Arial" w:cs="Arial" w:eastAsia="Arial" w:hAnsi="Arial"/>
                <w:b/>
                <w:bCs/>
                <w:i w:val="false"/>
                <w:iCs w:val="false"/>
                <w:color w:val="DC2626"/>
                <w:sz w:val="18"/>
                <w:szCs w:val="18"/>
              </w:rPr>
              <w:t xml:space="preserve">EN DERNIER RECOURS</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16A34A" w:color="16A34A" w:val="solid"/>
            <w:tcMar>
              <w:top w:type="dxa" w:w="60"/>
              <w:left w:type="dxa" w:w="120"/>
              <w:bottom w:type="dxa" w:w="60"/>
              <w:right w:type="dxa" w:w="120"/>
            </w:tcMar>
          </w:tcPr>
          <w:p>
            <w:pPr>
              <w:spacing w:after="60" w:before="60" w:line="276"/>
            </w:pPr>
            <w:r>
              <w:rPr>
                <w:rFonts w:ascii="Arial" w:cs="Arial" w:eastAsia="Arial" w:hAnsi="Arial"/>
                <w:b/>
                <w:bCs/>
                <w:i w:val="false"/>
                <w:iCs w:val="false"/>
                <w:color w:val="FFFFFF"/>
                <w:sz w:val="24"/>
                <w:szCs w:val="24"/>
              </w:rPr>
              <w:t xml:space="preserve">Section 2 — Registre des mesures de maîtrise en place</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2563EB" w:sz="8"/>
          <w:left w:val="single" w:color="2563EB" w:sz="8"/>
          <w:bottom w:val="single" w:color="2563EB" w:sz="8"/>
          <w:right w:val="single" w:color="2563EB" w:sz="8"/>
          <w:insideH w:val="single" w:color="auto" w:sz="4"/>
          <w:insideV w:val="single" w:color="auto" w:sz="4"/>
        </w:tblBorders>
      </w:tblPr>
      <w:tblGrid>
        <w:gridCol w:w="100"/>
      </w:tblGrid>
      <w:tr>
        <w:tc>
          <w:tcPr>
            <w:tcBorders>
              <w:top w:val="single" w:color="2563EB" w:sz="8"/>
              <w:left w:val="single" w:color="2563EB" w:sz="8"/>
              <w:bottom w:val="single" w:color="2563EB" w:sz="8"/>
              <w:right w:val="single" w:color="2563EB" w:sz="8"/>
            </w:tcBorders>
            <w:shd w:fill="DBEAFE" w:color="DBEAFE" w:val="solid"/>
            <w:tcMar>
              <w:top w:type="dxa" w:w="80"/>
              <w:left w:type="dxa" w:w="120"/>
              <w:bottom w:type="dxa" w:w="80"/>
              <w:right w:type="dxa" w:w="120"/>
            </w:tcMar>
          </w:tcPr>
          <w:p>
            <w:pPr>
              <w:spacing w:after="800" w:before="0" w:line="276"/>
              <w:jc w:val="left"/>
            </w:pPr>
            <w:r>
              <w:rPr>
                <w:rFonts w:ascii="Arial" w:cs="Arial" w:eastAsia="Arial" w:hAnsi="Arial"/>
                <w:b w:val="false"/>
                <w:bCs w:val="false"/>
                <w:i/>
                <w:iCs/>
                <w:color w:val="1A1A2E"/>
                <w:sz w:val="18"/>
                <w:szCs w:val="18"/>
              </w:rPr>
              <w:t xml:space="preserve">Ce registre est alimenté directement depuis le DUERP (§6.1.2) et mis à jour à chaque changement ou lors de la révision annuelle. Le Responsable SST s'assure que les mesures de niveau 1 à 3 ont été étudiées avant de retenir un EPI.</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gridCol w:w="100"/>
        <w:gridCol w:w="100"/>
        <w:gridCol w:w="100"/>
        <w:gridCol w:w="100"/>
      </w:tblGrid>
      <w:tr>
        <w:tc>
          <w:tcPr>
            <w:tcW w:type="pct" w:w="22%"/>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Danger identifié</w:t>
            </w:r>
          </w:p>
        </w:tc>
        <w:tc>
          <w:tcPr>
            <w:tcW w:type="pct" w:w="1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Poste / Activité</w:t>
            </w:r>
          </w:p>
        </w:tc>
        <w:tc>
          <w:tcPr>
            <w:tcW w:type="pct" w:w="2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Mesure de maîtrise retenue</w:t>
            </w:r>
          </w:p>
        </w:tc>
        <w:tc>
          <w:tcPr>
            <w:tcW w:type="pct" w:w="1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Niveau (1-5)</w:t>
            </w:r>
          </w:p>
        </w:tc>
        <w:tc>
          <w:tcPr>
            <w:tcW w:type="pct" w:w="14%"/>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Responsable</w:t>
            </w:r>
          </w:p>
        </w:tc>
        <w:tc>
          <w:tcPr>
            <w:tcW w:type="pct" w:w="14%"/>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Échéance</w:t>
            </w:r>
          </w:p>
        </w:tc>
      </w:tr>
      <w:tr>
        <w:tc>
          <w:tcPr>
            <w:tcW w:type="pct" w:w="22%"/>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E3A8A"/>
                <w:sz w:val="18"/>
                <w:szCs w:val="18"/>
              </w:rPr>
              <w:t xml:space="preserve">Chute de hauteur (accès toiture)</w:t>
            </w:r>
          </w:p>
        </w:tc>
        <w:tc>
          <w:tcPr>
            <w:tcW w:type="pct" w:w="1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Maintenance toiture</w:t>
            </w:r>
          </w:p>
        </w:tc>
        <w:tc>
          <w:tcPr>
            <w:tcW w:type="pct" w:w="2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Installation de garde-corps permanents + ligne de vie + permis de travail obligatoire</w:t>
            </w:r>
          </w:p>
        </w:tc>
        <w:tc>
          <w:tcPr>
            <w:tcW w:type="pct" w:w="1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7C3AED"/>
                <w:sz w:val="18"/>
                <w:szCs w:val="18"/>
              </w:rPr>
              <w:t xml:space="preserve">3 + 5</w:t>
            </w:r>
          </w:p>
        </w:tc>
        <w:tc>
          <w:tcPr>
            <w:tcW w:type="pct" w:w="14%"/>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Resp. SST</w:t>
            </w:r>
          </w:p>
        </w:tc>
        <w:tc>
          <w:tcPr>
            <w:tcW w:type="pct" w:w="14%"/>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__ /__ /20__</w:t>
            </w:r>
          </w:p>
        </w:tc>
      </w:tr>
      <w:tr>
        <w:tc>
          <w:tcPr>
            <w:tcW w:type="pct" w:w="22%"/>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E3A8A"/>
                <w:sz w:val="18"/>
                <w:szCs w:val="18"/>
              </w:rPr>
              <w:t xml:space="preserve">Exposition aux bruits (&gt; 85 dB)</w:t>
            </w:r>
          </w:p>
        </w:tc>
        <w:tc>
          <w:tcPr>
            <w:tcW w:type="pct" w:w="1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Atelier de production</w:t>
            </w:r>
          </w:p>
        </w:tc>
        <w:tc>
          <w:tcPr>
            <w:tcW w:type="pct" w:w="2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Isolation phonique machine + limitation exposition à 6h/j maximum + bouchons adaptés</w:t>
            </w:r>
          </w:p>
        </w:tc>
        <w:tc>
          <w:tcPr>
            <w:tcW w:type="pct" w:w="1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7C3AED"/>
                <w:sz w:val="18"/>
                <w:szCs w:val="18"/>
              </w:rPr>
              <w:t xml:space="preserve">3 + 4 + 5</w:t>
            </w:r>
          </w:p>
        </w:tc>
        <w:tc>
          <w:tcPr>
            <w:tcW w:type="pct" w:w="14%"/>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Resp. SST</w:t>
            </w:r>
          </w:p>
        </w:tc>
        <w:tc>
          <w:tcPr>
            <w:tcW w:type="pct" w:w="14%"/>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__ /__ /20__</w:t>
            </w:r>
          </w:p>
        </w:tc>
      </w:tr>
      <w:tr>
        <w:tc>
          <w:tcPr>
            <w:tcW w:type="pct" w:w="22%"/>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E3A8A"/>
                <w:sz w:val="18"/>
                <w:szCs w:val="18"/>
              </w:rPr>
              <w:t xml:space="preserve">TMS — manutention manuelle (&gt; 25 kg)</w:t>
            </w:r>
          </w:p>
        </w:tc>
        <w:tc>
          <w:tcPr>
            <w:tcW w:type="pct" w:w="1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Logistique / réception</w:t>
            </w:r>
          </w:p>
        </w:tc>
        <w:tc>
          <w:tcPr>
            <w:tcW w:type="pct" w:w="2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Aide à la manutention (chariot élévateur) + réorganisation des postes + formation gestes</w:t>
            </w:r>
          </w:p>
        </w:tc>
        <w:tc>
          <w:tcPr>
            <w:tcW w:type="pct" w:w="1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7C3AED"/>
                <w:sz w:val="18"/>
                <w:szCs w:val="18"/>
              </w:rPr>
              <w:t xml:space="preserve">2 + 3 + 4</w:t>
            </w:r>
          </w:p>
        </w:tc>
        <w:tc>
          <w:tcPr>
            <w:tcW w:type="pct" w:w="14%"/>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Resp. SST + RH</w:t>
            </w:r>
          </w:p>
        </w:tc>
        <w:tc>
          <w:tcPr>
            <w:tcW w:type="pct" w:w="14%"/>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__ /__ /20__</w:t>
            </w:r>
          </w:p>
        </w:tc>
      </w:tr>
      <w:tr>
        <w:tc>
          <w:tcPr>
            <w:tcW w:type="pct" w:w="22%"/>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E3A8A"/>
                <w:sz w:val="18"/>
                <w:szCs w:val="18"/>
              </w:rPr>
              <w:t xml:space="preserve">Risque chimique — solvant (CMR)</w:t>
            </w:r>
          </w:p>
        </w:tc>
        <w:tc>
          <w:tcPr>
            <w:tcW w:type="pct" w:w="1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Peinture / assemblage</w:t>
            </w:r>
          </w:p>
        </w:tc>
        <w:tc>
          <w:tcPr>
            <w:tcW w:type="pct" w:w="2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Substitution par produit non CMR en cours d'étude + ventilation + EPI (masque A1P3) transitoire</w:t>
            </w:r>
          </w:p>
        </w:tc>
        <w:tc>
          <w:tcPr>
            <w:tcW w:type="pct" w:w="1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7C3AED"/>
                <w:sz w:val="18"/>
                <w:szCs w:val="18"/>
              </w:rPr>
              <w:t xml:space="preserve">1 (en cours) + 3 + 5</w:t>
            </w:r>
          </w:p>
        </w:tc>
        <w:tc>
          <w:tcPr>
            <w:tcW w:type="pct" w:w="14%"/>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Resp. SST + Bureau études</w:t>
            </w:r>
          </w:p>
        </w:tc>
        <w:tc>
          <w:tcPr>
            <w:tcW w:type="pct" w:w="14%"/>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__ /__ /20__</w:t>
            </w:r>
          </w:p>
        </w:tc>
      </w:tr>
      <w:tr>
        <w:tc>
          <w:tcPr>
            <w:tcW w:type="pct" w:w="22%"/>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E3A8A"/>
                <w:sz w:val="18"/>
                <w:szCs w:val="18"/>
              </w:rPr>
              <w:t xml:space="preserve">Risque électrique — interventions HT/BT</w:t>
            </w:r>
          </w:p>
        </w:tc>
        <w:tc>
          <w:tcPr>
            <w:tcW w:type="pct" w:w="1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Maintenance électrique</w:t>
            </w:r>
          </w:p>
        </w:tc>
        <w:tc>
          <w:tcPr>
            <w:tcW w:type="pct" w:w="2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Consignation/déconsignation + habilitations électriques valides + permis de travail</w:t>
            </w:r>
          </w:p>
        </w:tc>
        <w:tc>
          <w:tcPr>
            <w:tcW w:type="pct" w:w="1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7C3AED"/>
                <w:sz w:val="18"/>
                <w:szCs w:val="18"/>
              </w:rPr>
              <w:t xml:space="preserve">4 + 5</w:t>
            </w:r>
          </w:p>
        </w:tc>
        <w:tc>
          <w:tcPr>
            <w:tcW w:type="pct" w:w="14%"/>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Resp. Maintenance</w:t>
            </w:r>
          </w:p>
        </w:tc>
        <w:tc>
          <w:tcPr>
            <w:tcW w:type="pct" w:w="14%"/>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__ /__ /20__</w:t>
            </w:r>
          </w:p>
        </w:tc>
      </w:tr>
      <w:tr>
        <w:tc>
          <w:tcPr>
            <w:tcW w:type="pct" w:w="22%"/>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E3A8A"/>
                <w:sz w:val="18"/>
                <w:szCs w:val="18"/>
              </w:rPr>
              <w:t xml:space="preserve">À compléter selon DUERP</w:t>
            </w:r>
          </w:p>
        </w:tc>
        <w:tc>
          <w:tcPr>
            <w:tcW w:type="pct" w:w="1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2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
            </w:r>
          </w:p>
        </w:tc>
        <w:tc>
          <w:tcPr>
            <w:tcW w:type="pct" w:w="1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center"/>
            </w:pPr>
            <w:r>
              <w:rPr>
                <w:rFonts w:ascii="Arial" w:cs="Arial" w:eastAsia="Arial" w:hAnsi="Arial"/>
                <w:b w:val="false"/>
                <w:bCs w:val="false"/>
                <w:i w:val="false"/>
                <w:iCs w:val="false"/>
                <w:color w:val="7C3AED"/>
                <w:sz w:val="18"/>
                <w:szCs w:val="18"/>
              </w:rPr>
              <w:t xml:space="preserve"/>
            </w:r>
          </w:p>
        </w:tc>
        <w:tc>
          <w:tcPr>
            <w:tcW w:type="pct" w:w="14%"/>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
            </w:r>
          </w:p>
        </w:tc>
        <w:tc>
          <w:tcPr>
            <w:tcW w:type="pct" w:w="14%"/>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64748B"/>
                <w:sz w:val="18"/>
                <w:szCs w:val="18"/>
              </w:rPr>
              <w:t xml:space="preserve"/>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D97706" w:color="D97706" w:val="solid"/>
            <w:tcMar>
              <w:top w:type="dxa" w:w="60"/>
              <w:left w:type="dxa" w:w="120"/>
              <w:bottom w:type="dxa" w:w="60"/>
              <w:right w:type="dxa" w:w="120"/>
            </w:tcMar>
          </w:tcPr>
          <w:p>
            <w:pPr>
              <w:spacing w:after="60" w:before="60" w:line="276"/>
            </w:pPr>
            <w:r>
              <w:rPr>
                <w:rFonts w:ascii="Arial" w:cs="Arial" w:eastAsia="Arial" w:hAnsi="Arial"/>
                <w:b/>
                <w:bCs/>
                <w:i w:val="false"/>
                <w:iCs w:val="false"/>
                <w:color w:val="FFFFFF"/>
                <w:sz w:val="24"/>
                <w:szCs w:val="24"/>
              </w:rPr>
              <w:t xml:space="preserve">Section 3 — Gestion du changement — Types et déclencheurs (§8.1.3)</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D97706" w:sz="8"/>
          <w:left w:val="single" w:color="D97706" w:sz="8"/>
          <w:bottom w:val="single" w:color="D97706" w:sz="8"/>
          <w:right w:val="single" w:color="D97706" w:sz="8"/>
          <w:insideH w:val="single" w:color="auto" w:sz="4"/>
          <w:insideV w:val="single" w:color="auto" w:sz="4"/>
        </w:tblBorders>
      </w:tblPr>
      <w:tblGrid>
        <w:gridCol w:w="100"/>
      </w:tblGrid>
      <w:tr>
        <w:tc>
          <w:tcPr>
            <w:tcBorders>
              <w:top w:val="single" w:color="D97706" w:sz="8"/>
              <w:left w:val="single" w:color="D97706" w:sz="8"/>
              <w:bottom w:val="single" w:color="D97706" w:sz="8"/>
              <w:right w:val="single" w:color="D97706" w:sz="8"/>
            </w:tcBorders>
            <w:shd w:fill="FFFBEB" w:color="FFFBEB" w:val="solid"/>
            <w:tcMar>
              <w:top w:type="dxa" w:w="80"/>
              <w:left w:type="dxa" w:w="120"/>
              <w:bottom w:type="dxa" w:w="80"/>
              <w:right w:type="dxa" w:w="120"/>
            </w:tcMar>
          </w:tcPr>
          <w:p>
            <w:pPr>
              <w:spacing w:after="800" w:before="0" w:line="276"/>
              <w:jc w:val="left"/>
            </w:pPr>
            <w:r>
              <w:rPr>
                <w:rFonts w:ascii="Arial" w:cs="Arial" w:eastAsia="Arial" w:hAnsi="Arial"/>
                <w:b w:val="false"/>
                <w:bCs w:val="false"/>
                <w:i/>
                <w:iCs/>
                <w:color w:val="1A1A2E"/>
                <w:sz w:val="18"/>
                <w:szCs w:val="18"/>
              </w:rPr>
              <w:t xml:space="preserve">Tout changement susceptible d'introduire de nouveaux dangers ou de modifier le niveau de risque existant doit être évalué AVANT sa mise en œuvre. La fiche de gestion du changement (Section 4) est obligatoire pour tout changement de type A (procédé, réglementaire) et recommandée pour les types B et C.</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gridCol w:w="100"/>
      </w:tblGrid>
      <w:tr>
        <w:tc>
          <w:tcPr>
            <w:tcW w:type="pct" w:w="2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Type de changement</w:t>
            </w:r>
          </w:p>
        </w:tc>
        <w:tc>
          <w:tcPr>
            <w:tcW w:type="pct" w:w="35%"/>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Exemples</w:t>
            </w:r>
          </w:p>
        </w:tc>
        <w:tc>
          <w:tcPr>
            <w:tcW w:type="pct" w:w="40%"/>
            <w:gridSpan w:val="1"/>
            <w:tcBorders>
              <w:top w:val="single" w:color="FFFFFF" w:sz="4"/>
              <w:left w:val="single" w:color="FFFFFF" w:sz="4"/>
              <w:bottom w:val="single" w:color="FFFFFF" w:sz="4"/>
              <w:right w:val="single" w:color="FFFFFF" w:sz="4"/>
            </w:tcBorders>
            <w:shd w:fill="1E3A8A" w:color="1E3A8A"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FFFFFF"/>
                <w:sz w:val="18"/>
                <w:szCs w:val="18"/>
              </w:rPr>
              <w:t xml:space="preserve">Déclencheur d'évaluation SST</w:t>
            </w:r>
          </w:p>
        </w:tc>
      </w:tr>
      <w:tr>
        <w:tc>
          <w:tcPr>
            <w:tcW w:type="pct" w:w="2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D97706"/>
                <w:sz w:val="18"/>
                <w:szCs w:val="18"/>
              </w:rPr>
              <w:t xml:space="preserve">Changement de procédé ou d'équipement</w:t>
            </w:r>
          </w:p>
        </w:tc>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Nouvelle machine, modification d'une ligne de production, changement de matières premières, nouvelles substances chimiques</w:t>
            </w:r>
          </w:p>
        </w:tc>
        <w:tc>
          <w:tcPr>
            <w:tcW w:type="pct" w:w="4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E3A8A"/>
                <w:sz w:val="18"/>
                <w:szCs w:val="18"/>
              </w:rPr>
              <w:t xml:space="preserve">Analyse de risques préalable obligatoire. Mise à jour DUERP. Formation des opérateurs concernés. Validation Resp. SST avant démarrage.</w:t>
            </w:r>
          </w:p>
        </w:tc>
      </w:tr>
      <w:tr>
        <w:tc>
          <w:tcPr>
            <w:tcW w:type="pct" w:w="2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D97706"/>
                <w:sz w:val="18"/>
                <w:szCs w:val="18"/>
              </w:rPr>
              <w:t xml:space="preserve">Changement organisationnel</w:t>
            </w:r>
          </w:p>
        </w:tc>
        <w:tc>
          <w:tcPr>
            <w:tcW w:type="pct" w:w="3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Restructuration, fusion, changement de prestataires, modification des effectifs, télétravail</w:t>
            </w:r>
          </w:p>
        </w:tc>
        <w:tc>
          <w:tcPr>
            <w:tcW w:type="pct" w:w="4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E3A8A"/>
                <w:sz w:val="18"/>
                <w:szCs w:val="18"/>
              </w:rPr>
              <w:t xml:space="preserve">Évaluation de l'impact SST. Mise à jour RACI SST. Information CSE/CSSCT si conditions de travail affectées.</w:t>
            </w:r>
          </w:p>
        </w:tc>
      </w:tr>
      <w:tr>
        <w:tc>
          <w:tcPr>
            <w:tcW w:type="pct" w:w="2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D97706"/>
                <w:sz w:val="18"/>
                <w:szCs w:val="18"/>
              </w:rPr>
              <w:t xml:space="preserve">Changement réglementaire</w:t>
            </w:r>
          </w:p>
        </w:tc>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Nouvelle loi, nouveau décret, nouvelle norme applicable, évolution de la jurisprudence</w:t>
            </w:r>
          </w:p>
        </w:tc>
        <w:tc>
          <w:tcPr>
            <w:tcW w:type="pct" w:w="4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E3A8A"/>
                <w:sz w:val="18"/>
                <w:szCs w:val="18"/>
              </w:rPr>
              <w:t xml:space="preserve">Mise à jour registre de veille réglementaire. Évaluation de la conformité. Plan de mise en conformité si écart.</w:t>
            </w:r>
          </w:p>
        </w:tc>
      </w:tr>
      <w:tr>
        <w:tc>
          <w:tcPr>
            <w:tcW w:type="pct" w:w="2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D97706"/>
                <w:sz w:val="18"/>
                <w:szCs w:val="18"/>
              </w:rPr>
              <w:t xml:space="preserve">Travaux / Aménagements locaux</w:t>
            </w:r>
          </w:p>
        </w:tc>
        <w:tc>
          <w:tcPr>
            <w:tcW w:type="pct" w:w="35%"/>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Travaux de construction, d'extension, de rénovation, déménagement</w:t>
            </w:r>
          </w:p>
        </w:tc>
        <w:tc>
          <w:tcPr>
            <w:tcW w:type="pct" w:w="4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E3A8A"/>
                <w:sz w:val="18"/>
                <w:szCs w:val="18"/>
              </w:rPr>
              <w:t xml:space="preserve">Co-activité à gérer (plan de prévention). Inspection préalable. Communication aux travailleurs.</w:t>
            </w:r>
          </w:p>
        </w:tc>
      </w:tr>
      <w:tr>
        <w:tc>
          <w:tcPr>
            <w:tcW w:type="pct" w:w="2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D97706"/>
                <w:sz w:val="18"/>
                <w:szCs w:val="18"/>
              </w:rPr>
              <w:t xml:space="preserve">Changement de personnel clé</w:t>
            </w:r>
          </w:p>
        </w:tc>
        <w:tc>
          <w:tcPr>
            <w:tcW w:type="pct" w:w="35%"/>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Départ du responsable SST, changement de direction, arrivée massive de nouveaux collaborateurs</w:t>
            </w:r>
          </w:p>
        </w:tc>
        <w:tc>
          <w:tcPr>
            <w:tcW w:type="pct" w:w="4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E3A8A"/>
                <w:sz w:val="18"/>
                <w:szCs w:val="18"/>
              </w:rPr>
              <w:t xml:space="preserve">Transfert de compétences. Mise à jour des habilitations. Accueil SST renforcé.</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D97706" w:color="D97706" w:val="solid"/>
            <w:tcMar>
              <w:top w:type="dxa" w:w="60"/>
              <w:left w:type="dxa" w:w="120"/>
              <w:bottom w:type="dxa" w:w="60"/>
              <w:right w:type="dxa" w:w="120"/>
            </w:tcMar>
          </w:tcPr>
          <w:p>
            <w:pPr>
              <w:spacing w:after="60" w:before="60" w:line="276"/>
            </w:pPr>
            <w:r>
              <w:rPr>
                <w:rFonts w:ascii="Arial" w:cs="Arial" w:eastAsia="Arial" w:hAnsi="Arial"/>
                <w:b/>
                <w:bCs/>
                <w:i w:val="false"/>
                <w:iCs w:val="false"/>
                <w:color w:val="FFFFFF"/>
                <w:sz w:val="24"/>
                <w:szCs w:val="24"/>
              </w:rPr>
              <w:t xml:space="preserve">Section 4 — Fiche de gestion d'un changement SST</w:t>
            </w:r>
          </w:p>
        </w:tc>
      </w:tr>
    </w:tbl>
    <w:p>
      <w:pPr>
        <w:spacing w:after="800" w:before="0" w:line="276"/>
        <w:jc w:val="left"/>
      </w:pPr>
      <w:r>
        <w:rPr>
          <w:rFonts w:ascii="Arial" w:cs="Arial" w:eastAsia="Arial" w:hAnsi="Arial"/>
          <w:b w:val="false"/>
          <w:bCs w:val="false"/>
          <w:i w:val="false"/>
          <w:iCs w:val="false"/>
          <w:color w:val="1A1A2E"/>
          <w:sz w:val="20"/>
          <w:szCs w:val="20"/>
        </w:rPr>
        <w:t xml:space="preserve"/>
      </w:r>
    </w:p>
    <w:tbl>
      <w:tblPr>
        <w:tblW w:type="pct" w:w="100%"/>
        <w:tblBorders>
          <w:top w:val="single" w:color="E2E8F0" w:sz="4"/>
          <w:left w:val="single" w:color="E2E8F0" w:sz="4"/>
          <w:bottom w:val="single" w:color="E2E8F0" w:sz="4"/>
          <w:right w:val="single" w:color="E2E8F0" w:sz="4"/>
          <w:insideH w:val="single" w:color="auto" w:sz="4"/>
          <w:insideV w:val="single" w:color="auto" w:sz="4"/>
        </w:tblBorders>
      </w:tblPr>
      <w:tblGrid>
        <w:gridCol w:w="100"/>
        <w:gridCol w:w="100"/>
        <w:gridCol w:w="100"/>
        <w:gridCol w:w="100"/>
      </w:tblGrid>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Description du changement prévu</w:t>
            </w:r>
          </w:p>
        </w:tc>
        <w:tc>
          <w:tcPr>
            <w:tcW w:type="pct" w:w="70%"/>
            <w:gridSpan w:val="3"/>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Date prévue / Porteur du changement</w:t>
            </w:r>
          </w:p>
        </w:tc>
        <w:tc>
          <w:tcPr>
            <w:tcW w:type="pct" w:w="2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w:r>
          </w:p>
        </w:tc>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Type de changement</w:t>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Procédé  ☐  |  Organisationnel  ☐  |  Réglementaire  ☐  |  Travaux  ☐  |  RH  ☐</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Dangers nouveaux ou modifiés identifiés</w:t>
            </w:r>
          </w:p>
        </w:tc>
        <w:tc>
          <w:tcPr>
            <w:tcW w:type="pct" w:w="70%"/>
            <w:gridSpan w:val="3"/>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Mesures de maîtrise prévues (hiérarchie §8.1.2)</w:t>
            </w:r>
          </w:p>
        </w:tc>
        <w:tc>
          <w:tcPr>
            <w:tcW w:type="pct" w:w="70%"/>
            <w:gridSpan w:val="3"/>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Mise à jour DUERP requise ?</w:t>
            </w:r>
          </w:p>
        </w:tc>
        <w:tc>
          <w:tcPr>
            <w:tcW w:type="pct" w:w="2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Oui  ☐      Non  ☐</w:t>
            </w:r>
          </w:p>
        </w:tc>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Information / consultation CSE/CSSCT ?</w:t>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Oui  ☐      Non  ☐</w:t>
            </w:r>
          </w:p>
        </w:tc>
      </w:tr>
      <w:tr>
        <w:tc>
          <w:tcPr>
            <w:tcW w:type="pct" w:w="3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Formation des travailleurs concernés ?</w:t>
            </w:r>
          </w:p>
        </w:tc>
        <w:tc>
          <w:tcPr>
            <w:tcW w:type="pct" w:w="2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20"/>
                <w:szCs w:val="20"/>
              </w:rPr>
              <w:t xml:space="preserve"/>
            </w:r>
          </w:p>
        </w:tc>
        <w:tc>
          <w:tcPr>
            <w:tcW w:type="pct" w:w="20%"/>
            <w:gridSpan w:val="1"/>
            <w:tcBorders>
              <w:top w:val="single" w:color="E2E8F0" w:sz="4"/>
              <w:left w:val="single" w:color="E2E8F0" w:sz="4"/>
              <w:bottom w:val="single" w:color="E2E8F0" w:sz="4"/>
              <w:right w:val="single" w:color="E2E8F0" w:sz="4"/>
            </w:tcBorders>
            <w:shd w:fill="F8FAFC" w:color="F8FAFC"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64748B"/>
                <w:sz w:val="18"/>
                <w:szCs w:val="18"/>
              </w:rPr>
              <w:t xml:space="preserve">Validation Resp. SST</w:t>
            </w:r>
          </w:p>
        </w:tc>
        <w:tc>
          <w:tcPr>
            <w:tcW w:type="pct" w:w="30%"/>
            <w:gridSpan w:val="1"/>
            <w:tcBorders>
              <w:top w:val="single" w:color="E2E8F0" w:sz="4"/>
              <w:left w:val="single" w:color="E2E8F0" w:sz="4"/>
              <w:bottom w:val="single" w:color="E2E8F0" w:sz="4"/>
              <w:right w:val="single" w:color="E2E8F0" w:sz="4"/>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val="false"/>
                <w:iCs w:val="false"/>
                <w:color w:val="1A1A2E"/>
                <w:sz w:val="18"/>
                <w:szCs w:val="18"/>
              </w:rPr>
              <w:t xml:space="preserve">Validé le : __ /__ /20__       Signature : ___________</w:t>
            </w:r>
          </w:p>
        </w:tc>
      </w:tr>
    </w:tbl>
    <w:p>
      <w:pPr>
        <w:spacing w:after="800" w:before="0" w:line="276"/>
        <w:jc w:val="left"/>
      </w:pPr>
      <w:r>
        <w:rPr>
          <w:rFonts w:ascii="Arial" w:cs="Arial" w:eastAsia="Arial" w:hAnsi="Arial"/>
          <w:b w:val="false"/>
          <w:bCs w:val="false"/>
          <w:i w:val="false"/>
          <w:iCs w:val="false"/>
          <w:color w:val="1A1A2E"/>
          <w:sz w:val="20"/>
          <w:szCs w:val="20"/>
        </w:rPr>
        <w:t xml:space="preserve"/>
      </w:r>
    </w:p>
    <w:p>
      <w:pPr>
        <w:spacing w:after="800" w:before="0" w:line="276"/>
        <w:jc w:val="left"/>
      </w:pPr>
      <w:r>
        <w:rPr>
          <w:rFonts w:ascii="Arial" w:cs="Arial" w:eastAsia="Arial" w:hAnsi="Arial"/>
          <w:b w:val="false"/>
          <w:bCs w:val="false"/>
          <w:i w:val="false"/>
          <w:iCs w:val="false"/>
          <w:color w:val="1A1A2E"/>
          <w:sz w:val="20"/>
          <w:szCs w:val="20"/>
        </w:rP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single" w:color="2563EB" w:sz="4"/>
        <w:left w:val="none" w:color="FFFFFF" w:sz="0"/>
        <w:bottom w:val="none" w:color="FFFFFF" w:sz="0"/>
        <w:right w:val="none" w:color="FFFFFF" w:sz="0"/>
        <w:insideH w:val="single" w:color="auto" w:sz="4"/>
        <w:insideV w:val="single" w:color="auto" w:sz="4"/>
      </w:tblBorders>
    </w:tblPr>
    <w:tblGrid>
      <w:gridCol w:w="100"/>
      <w:gridCol w:w="100"/>
    </w:tblGrid>
    <w:tr>
      <w:tc>
        <w:tcPr>
          <w:tcW w:type="pct" w:w="8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val="false"/>
              <w:bCs w:val="false"/>
              <w:i/>
              <w:iCs/>
              <w:color w:val="64748B"/>
              <w:sz w:val="16"/>
              <w:szCs w:val="16"/>
            </w:rPr>
            <w:t xml:space="preserve">✦ Ressource gratuite ISOthèque — isotheque.fr — Reproduction autorisée pour usage professionnel interne</w:t>
          </w:r>
        </w:p>
      </w:tc>
      <w:tc>
        <w:tcPr>
          <w:tcW w:type="pct" w:w="2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right"/>
          </w:pPr>
          <w:r>
            <w:rPr>
              <w:rFonts w:ascii="Arial" w:cs="Arial" w:eastAsia="Arial" w:hAnsi="Arial"/>
              <w:b w:val="false"/>
              <w:bCs w:val="false"/>
              <w:i w:val="false"/>
              <w:iCs w:val="false"/>
              <w:color w:val="64748B"/>
              <w:sz w:val="16"/>
              <w:szCs w:val="16"/>
            </w:rPr>
            <w:t xml:space="preserve">Page </w:t>
          </w:r>
          <w:r>
            <w:rPr>
              <w:rFonts w:ascii="Arial" w:cs="Arial" w:eastAsia="Arial" w:hAnsi="Arial"/>
              <w:color w:val="64748B"/>
              <w:sz w:val="16"/>
              <w:szCs w:val="16"/>
            </w:rPr>
            <w:fldChar w:fldCharType="begin"/>
            <w:instrText xml:space="preserve">PAGE</w:instrText>
            <w:fldChar w:fldCharType="separate"/>
            <w:fldChar w:fldCharType="end"/>
          </w:r>
          <w:r>
            <w:rPr>
              <w:rFonts w:ascii="Arial" w:cs="Arial" w:eastAsia="Arial" w:hAnsi="Arial"/>
              <w:b w:val="false"/>
              <w:bCs w:val="false"/>
              <w:i w:val="false"/>
              <w:iCs w:val="false"/>
              <w:color w:val="64748B"/>
              <w:sz w:val="16"/>
              <w:szCs w:val="16"/>
            </w:rPr>
            <w:t xml:space="preserve"> / </w:t>
          </w:r>
          <w:r>
            <w:rPr>
              <w:rFonts w:ascii="Arial" w:cs="Arial" w:eastAsia="Arial" w:hAnsi="Arial"/>
              <w:color w:val="64748B"/>
              <w:sz w:val="16"/>
              <w:szCs w:val="16"/>
            </w:rPr>
            <w:fldChar w:fldCharType="begin"/>
            <w:instrText xml:space="preserve">NUMPAGES</w:instrText>
            <w:fldChar w:fldCharType="separate"/>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FFFFFF" w:sz="0"/>
        <w:left w:val="none" w:color="FFFFFF" w:sz="0"/>
        <w:bottom w:val="single" w:color="2563EB" w:sz="4"/>
        <w:right w:val="none" w:color="FFFFFF" w:sz="0"/>
        <w:insideH w:val="single" w:color="auto" w:sz="4"/>
        <w:insideV w:val="single" w:color="auto" w:sz="4"/>
      </w:tblBorders>
    </w:tblPr>
    <w:tblGrid>
      <w:gridCol w:w="100"/>
      <w:gridCol w:w="100"/>
    </w:tblGrid>
    <w:tr>
      <w:tc>
        <w:tcPr>
          <w:tcW w:type="pct" w:w="8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left"/>
          </w:pPr>
          <w:r>
            <w:rPr>
              <w:rFonts w:ascii="Arial" w:cs="Arial" w:eastAsia="Arial" w:hAnsi="Arial"/>
              <w:b/>
              <w:bCs/>
              <w:i w:val="false"/>
              <w:iCs w:val="false"/>
              <w:color w:val="1E3A8A"/>
              <w:sz w:val="18"/>
              <w:szCs w:val="18"/>
            </w:rPr>
            <w:t xml:space="preserve">MAÎTRISE DES RISQUES &amp; GESTION DU CHANGEMENT SST — ISO 45001:2018 §8.1.2/§8.1.3</w:t>
          </w:r>
        </w:p>
      </w:tc>
      <w:tc>
        <w:tcPr>
          <w:tcW w:type="pct" w:w="20%"/>
          <w:gridSpan w:val="1"/>
          <w:tcBorders>
            <w:top w:val="none" w:color="FFFFFF" w:sz="0"/>
            <w:left w:val="none" w:color="FFFFFF" w:sz="0"/>
            <w:bottom w:val="none" w:color="FFFFFF" w:sz="0"/>
            <w:right w:val="none" w:color="FFFFFF" w:sz="0"/>
          </w:tcBorders>
          <w:shd w:fill="FFFFFF" w:color="FFFFFF" w:val="solid"/>
          <w:tcMar>
            <w:top w:type="dxa" w:w="80"/>
            <w:left w:type="dxa" w:w="100"/>
            <w:bottom w:type="dxa" w:w="80"/>
            <w:right w:type="dxa" w:w="100"/>
          </w:tcMar>
          <w:vAlign w:val="center"/>
        </w:tcPr>
        <w:p>
          <w:pPr>
            <w:spacing w:after="800" w:before="0" w:line="276"/>
            <w:jc w:val="right"/>
          </w:pPr>
          <w:r>
            <w:rPr>
              <w:rFonts w:ascii="Arial" w:cs="Arial" w:eastAsia="Arial" w:hAnsi="Arial"/>
              <w:b/>
              <w:bCs/>
              <w:i w:val="false"/>
              <w:iCs w:val="false"/>
              <w:color w:val="2563EB"/>
              <w:sz w:val="18"/>
              <w:szCs w:val="18"/>
            </w:rPr>
            <w:t xml:space="preserve">isotheque.fr</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Maîtrise des risques SST et gestion du changement — ISO 45001:2018 §8.1.2/§8.1.3</dc:title>
  <dc:creator>ISOthèque</dc:creator>
  <cp:lastModifiedBy>Un-named</cp:lastModifiedBy>
  <cp:revision>1</cp:revision>
  <dcterms:created xsi:type="dcterms:W3CDTF">2026-06-22T17:10:27.602Z</dcterms:created>
  <dcterms:modified xsi:type="dcterms:W3CDTF">2026-06-22T17:10:27.605Z</dcterms:modified>
</cp:coreProperties>
</file>

<file path=docProps/custom.xml><?xml version="1.0" encoding="utf-8"?>
<Properties xmlns="http://schemas.openxmlformats.org/officeDocument/2006/custom-properties" xmlns:vt="http://schemas.openxmlformats.org/officeDocument/2006/docPropsVTypes"/>
</file>