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40"/>
        <w:jc w:val="center"/>
      </w:pPr>
      <w:r>
        <w:rPr>
          <w:rFonts w:ascii="Arial" w:cs="Arial" w:eastAsia="Arial" w:hAnsi="Arial"/>
          <w:b/>
          <w:bCs/>
          <w:color w:val="0F6E56"/>
          <w:sz w:val="28"/>
          <w:szCs w:val="28"/>
        </w:rPr>
        <w:t xml:space="preserve">LES 10 CHAPITRES DE L'ISO 9001:2015</w:t>
      </w:r>
    </w:p>
    <w:p>
      <w:pPr>
        <w:spacing w:after="160" w:before="0"/>
        <w:jc w:val="center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Structure HLS (High Level Structure) — Mémo 1 page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"/>
        <w:gridCol w:w="2848"/>
        <w:gridCol w:w="60"/>
        <w:gridCol w:w="2848"/>
        <w:gridCol w:w="60"/>
        <w:gridCol w:w="2950"/>
      </w:tblGrid>
      <w:tr>
        <w:tc>
          <w:tcPr>
            <w:tcW w:type="dxa" w:w="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55555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INFO</w:t>
            </w:r>
          </w:p>
        </w:tc>
        <w:tc>
          <w:tcPr>
            <w:tcW w:type="dxa" w:w="284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§1  Domaine d'application</w:t>
            </w:r>
          </w:p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Précise que la norme est générique et applicable à tout organisme, quelle que soit sa taille ou son secteur, souhaitant améliorer sa satisfaction client.</w:t>
            </w:r>
          </w:p>
        </w:tc>
        <w:tc>
          <w:tcPr>
            <w:tcW w:type="dxa" w:w="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284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§2  Références normatives</w:t>
            </w:r>
          </w:p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Renvoie à l'ISO 9000:2015 pour le vocabulaire et les principes fondamentaux du management de la qualité.</w:t>
            </w:r>
          </w:p>
        </w:tc>
        <w:tc>
          <w:tcPr>
            <w:tcW w:type="dxa" w:w="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29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§3  Termes et définitions</w:t>
            </w:r>
          </w:p>
          <w:p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Les définitions applicables sont celles de l'ISO 9000:2015. Vocabulaire commun à toutes les normes de management (HLS).</w:t>
            </w:r>
          </w:p>
        </w:tc>
      </w:tr>
    </w:tbl>
    <w:p>
      <w:pPr>
        <w:spacing w:after="120" w:before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"/>
        <w:gridCol w:w="2848"/>
        <w:gridCol w:w="60"/>
        <w:gridCol w:w="2848"/>
        <w:gridCol w:w="60"/>
        <w:gridCol w:w="2950"/>
      </w:tblGrid>
      <w:tr>
        <w:tc>
          <w:tcPr>
            <w:tcW w:type="dxa" w:w="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5276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
L
A
N</w:t>
            </w:r>
          </w:p>
        </w:tc>
        <w:tc>
          <w:tcPr>
            <w:tcW w:type="dxa" w:w="284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3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§4  </w:t>
            </w: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Contexte de l'organisme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Qui sommes-nous, dans quel environnement 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Enjeux internes et externes (§4.1)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Parties intéressées et exigences (§4.2)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Périmètre du SMQ — exclusions justifiées (§4.3)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Processus du SMQ et leurs interactions (§4.4)</w:t>
            </w:r>
          </w:p>
        </w:tc>
        <w:tc>
          <w:tcPr>
            <w:tcW w:type="dxa" w:w="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284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3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§5  </w:t>
            </w: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Leadership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La direction s'engage et oriente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Engagement de la direction (§5.1)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Politique qualité approuvée et diffusée (§5.2)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Rôles, responsabilités, autorités (§5.3)</w:t>
            </w:r>
          </w:p>
        </w:tc>
        <w:tc>
          <w:tcPr>
            <w:tcW w:type="dxa" w:w="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29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3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§6  </w:t>
            </w: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Planification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Qu'est-ce qu'on prévoit de faire 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Risques et opportunités — actions planifiées (§6.1)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Objectifs qualité SMART + plan de réalisation (§6.2)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Planification des changements du SMQ (§6.3)</w:t>
            </w:r>
          </w:p>
        </w:tc>
      </w:tr>
    </w:tbl>
    <w:p>
      <w:pPr>
        <w:spacing w:after="100" w:before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"/>
        <w:gridCol w:w="4376"/>
        <w:gridCol w:w="60"/>
        <w:gridCol w:w="4330"/>
      </w:tblGrid>
      <w:tr>
        <w:tc>
          <w:tcPr>
            <w:tcW w:type="dxa" w:w="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0F6E56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
O</w:t>
            </w:r>
          </w:p>
        </w:tc>
        <w:tc>
          <w:tcPr>
            <w:tcW w:type="dxa" w:w="437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§7  </w:t>
            </w: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Support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Les ressources pour faire fonctionner le SMQ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Ressources : personnel, infrastructure, environnement (§7.1)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Compétences requises et preuves (§7.2)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Sensibilisation du personnel (§7.3)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Communication interne et externe (§7.4)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Maîtrise documentaire : création, diffusion, archivage (§7.5)</w:t>
            </w:r>
          </w:p>
        </w:tc>
        <w:tc>
          <w:tcPr>
            <w:tcW w:type="dxa" w:w="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33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§8  </w:t>
            </w: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Réalisation des activités opérationnelles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La production/prestation au cœur du SMQ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Planification et maîtrise opérationnelles (§8.1)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Exigences clients — revue avant engagement (§8.2)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Conception et développement (§8.3)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Maîtrise des prestataires externes — évaluation fournisseurs (§8.4)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Production/prestation de service — traçabilité, libération (§8.5 / §8.6)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Maîtrise des éléments de sortie non conformes (§8.7)</w:t>
            </w:r>
          </w:p>
        </w:tc>
      </w:tr>
    </w:tbl>
    <w:p>
      <w:pPr>
        <w:spacing w:after="100" w:before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"/>
        <w:gridCol w:w="8766"/>
      </w:tblGrid>
      <w:tr>
        <w:tc>
          <w:tcPr>
            <w:tcW w:type="dxa" w:w="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C348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
H
E
C
K</w:t>
            </w:r>
          </w:p>
        </w:tc>
        <w:tc>
          <w:tcPr>
            <w:tcW w:type="dxa" w:w="876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EE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C3483"/>
                <w:sz w:val="20"/>
                <w:szCs w:val="20"/>
              </w:rPr>
              <w:t xml:space="preserve">§9  </w:t>
            </w:r>
            <w:r>
              <w:rPr>
                <w:rFonts w:ascii="Arial" w:cs="Arial" w:eastAsia="Arial" w:hAnsi="Arial"/>
                <w:b/>
                <w:bCs/>
                <w:color w:val="6C3483"/>
                <w:sz w:val="20"/>
                <w:szCs w:val="20"/>
              </w:rPr>
              <w:t xml:space="preserve">Évaluation des performances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Est-ce que le SMQ fonctionne et produit les résultats attendus 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Surveillance et mesure des processus, produits/services — indicateurs, étalonnage (§9.1.1)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Satisfaction client — mesure proactive et analyse des résultats (§9.1.2)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Analyse et évaluation des données : NC, réclamations, fournisseurs, objectifs (§9.1.3)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Audit interne — programme, réalisation, rapport, suivi (§9.2)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Revue de direction — données d'entrée obligatoires, décisions documentées (§9.3)</w:t>
            </w:r>
          </w:p>
        </w:tc>
      </w:tr>
    </w:tbl>
    <w:p>
      <w:pPr>
        <w:spacing w:after="100" w:before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"/>
        <w:gridCol w:w="8766"/>
      </w:tblGrid>
      <w:tr>
        <w:tc>
          <w:tcPr>
            <w:tcW w:type="dxa" w:w="2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7B241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
C
T</w:t>
            </w:r>
          </w:p>
        </w:tc>
        <w:tc>
          <w:tcPr>
            <w:tcW w:type="dxa" w:w="876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DE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7B241C"/>
                <w:sz w:val="20"/>
                <w:szCs w:val="20"/>
              </w:rPr>
              <w:t xml:space="preserve">§10  </w:t>
            </w:r>
            <w:r>
              <w:rPr>
                <w:rFonts w:ascii="Arial" w:cs="Arial" w:eastAsia="Arial" w:hAnsi="Arial"/>
                <w:b/>
                <w:bCs/>
                <w:color w:val="7B241C"/>
                <w:sz w:val="20"/>
                <w:szCs w:val="20"/>
              </w:rPr>
              <w:t xml:space="preserve">Amélioration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Que fait-on des constats pour progresser 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Opportunités d'amélioration identifiées et exploitées (§10.1)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Non-conformités : enregistrement, correction, analyse cause, action corrective, vérification efficacité (§10.2)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0"/>
            </w:pPr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Amélioration continue du SMQ — performances, résultats, culture d'amélioration (§10.3)</w:t>
            </w:r>
          </w:p>
        </w:tc>
      </w:tr>
    </w:tbl>
    <w:p>
      <w:pPr>
        <w:spacing w:after="100" w:before="0"/>
      </w:pPr>
      <w:r>
        <w:rPr>
          <w:sz w:val="8"/>
          <w:szCs w:val="8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1684"/>
        <w:gridCol w:w="1684"/>
        <w:gridCol w:w="1684"/>
        <w:gridCol w:w="1718"/>
      </w:tblGrid>
      <w:tr>
        <w:tc>
          <w:tcPr>
            <w:tcW w:type="dxa" w:w="225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0F6E5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Structure PDCA de l'ISO 9001:2015</w:t>
            </w:r>
          </w:p>
        </w:tc>
        <w:tc>
          <w:tcPr>
            <w:tcW w:type="dxa" w:w="168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BF3FB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17"/>
                <w:szCs w:val="17"/>
              </w:rPr>
              <w:t xml:space="preserve">PLAN — §4 §5 §6</w:t>
            </w:r>
          </w:p>
        </w:tc>
        <w:tc>
          <w:tcPr>
            <w:tcW w:type="dxa" w:w="168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7"/>
                <w:szCs w:val="17"/>
              </w:rPr>
              <w:t xml:space="preserve">DO — §7 §8</w:t>
            </w:r>
          </w:p>
        </w:tc>
        <w:tc>
          <w:tcPr>
            <w:tcW w:type="dxa" w:w="168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EEF8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C3483"/>
                <w:sz w:val="17"/>
                <w:szCs w:val="17"/>
              </w:rPr>
              <w:t xml:space="preserve">CHECK — §9</w:t>
            </w:r>
          </w:p>
        </w:tc>
        <w:tc>
          <w:tcPr>
            <w:tcW w:type="dxa" w:w="171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DEC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B241C"/>
                <w:sz w:val="17"/>
                <w:szCs w:val="17"/>
              </w:rPr>
              <w:t xml:space="preserve">ACT — §10</w:t>
            </w:r>
          </w:p>
        </w:tc>
      </w:tr>
    </w:tbl>
    <w:p>
      <w:pPr>
        <w:spacing w:after="80" w:before="0"/>
      </w:pPr>
      <w:r>
        <w:rPr>
          <w:sz w:val="8"/>
          <w:szCs w:val="8"/>
        </w:rPr>
        <w:t xml:space="preserve"/>
      </w:r>
    </w:p>
    <w:p>
      <w:pPr>
        <w:pBdr>
          <w:top w:val="single" w:color="DDDDDD" w:sz="4" w:space="1"/>
        </w:pBdr>
        <w:spacing w:after="0" w:before="80"/>
      </w:pPr>
      <w:r>
        <w:rPr>
          <w:rFonts w:ascii="Arial" w:cs="Arial" w:eastAsia="Arial" w:hAnsi="Arial"/>
          <w:b/>
          <w:bCs/>
          <w:color w:val="555555"/>
          <w:sz w:val="15"/>
          <w:szCs w:val="15"/>
        </w:rPr>
        <w:t xml:space="preserve">Note : </w:t>
      </w:r>
      <w:r>
        <w:rPr>
          <w:rFonts w:ascii="Arial" w:cs="Arial" w:eastAsia="Arial" w:hAnsi="Arial"/>
          <w:color w:val="777777"/>
          <w:sz w:val="15"/>
          <w:szCs w:val="15"/>
        </w:rPr>
        <w:t xml:space="preserve">Les chapitres §1 à §3 sont informatifs (domaine d'application, références, vocabulaire). Les chapitres §4 à §10 sont normatifs et constituent les exigences à satisfaire pour la certification. Pour approfondir chaque chapitre, consultez les guides ISOthèque — isotheque.fr</w:t>
      </w:r>
    </w:p>
    <w:sectPr>
      <w:headerReference w:type="default" r:id="rId7"/>
      <w:footerReference w:type="default" r:id="rId8"/>
      <w:pgSz w:w="11906" w:h="16838" w:orient="portrait"/>
      <w:pgMar w:top="680" w:right="680" w:bottom="680" w:left="6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1"/>
      </w:pBdr>
      <w:spacing w:after="0" w:before="40"/>
    </w:pPr>
    <w:r>
      <w:t xml:space="preserve"/>
    </w:r>
  </w:p>
  <w:p>
    <w:pPr>
      <w:jc w:val="center"/>
    </w:pPr>
    <w:r>
      <w:rPr>
        <w:rFonts w:ascii="Arial" w:cs="Arial" w:eastAsia="Arial" w:hAnsi="Arial"/>
        <w:color w:val="AAAAAA"/>
        <w:sz w:val="15"/>
        <w:szCs w:val="15"/>
      </w:rPr>
      <w:t xml:space="preserve">www.isotheque.fr  |  Ressource gratuite — reproduction autorisée pour usage professionnel interne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4513"/>
      <w:gridCol w:w="4513"/>
    </w:tblGrid>
    <w:tr>
      <w:tc>
        <w:tcPr>
          <w:tcW w:type="dxa" w:w="451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r>
            <w:rPr>
              <w:rFonts w:ascii="Arial" w:cs="Arial" w:eastAsia="Arial" w:hAnsi="Arial"/>
              <w:b/>
              <w:bCs/>
              <w:color w:val="0F6E56"/>
              <w:sz w:val="26"/>
              <w:szCs w:val="26"/>
            </w:rPr>
            <w:t xml:space="preserve">ISOthèque</w:t>
          </w:r>
        </w:p>
        <w:p>
          <w:r>
            <w:rPr>
              <w:rFonts w:ascii="Arial" w:cs="Arial" w:eastAsia="Arial" w:hAnsi="Arial"/>
              <w:color w:val="999999"/>
              <w:sz w:val="15"/>
              <w:szCs w:val="15"/>
            </w:rPr>
            <w:t xml:space="preserve">Bibliothèque qualité francophone</w:t>
          </w:r>
        </w:p>
      </w:tc>
      <w:tc>
        <w:tcPr>
          <w:tcW w:type="dxa" w:w="451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color w:val="555555"/>
              <w:sz w:val="17"/>
              <w:szCs w:val="17"/>
            </w:rPr>
            <w:t xml:space="preserve">Mémo — Les 10 chapitres ISO 9001:2015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999999"/>
              <w:sz w:val="15"/>
              <w:szCs w:val="15"/>
            </w:rPr>
            <w:t xml:space="preserve">Réf. : FR-QUA-MEM-01 | v1.0  |  Ressource gratuite</w:t>
          </w:r>
        </w:p>
      </w:tc>
    </w:tr>
  </w:tbl>
  <w:p>
    <w:pPr>
      <w:pBdr>
        <w:bottom w:val="single" w:color="0F6E56" w:sz="8" w:space="1"/>
      </w:pBdr>
      <w:spacing w:after="0" w:before="5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2026-05-26T18:37:28.958Z</dcterms:created>
  <dcterms:modified xsi:type="dcterms:W3CDTF">2026-05-26T18:37:28.978Z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